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180" w:lineRule="atLeast"/>
        <w:rPr>
          <w:rFonts w:ascii="宋体" w:hAnsi="宋体"/>
          <w:b/>
          <w:bCs/>
          <w:sz w:val="32"/>
          <w:szCs w:val="32"/>
        </w:rPr>
      </w:pPr>
    </w:p>
    <w:p>
      <w:pPr>
        <w:widowControl w:val="0"/>
        <w:spacing w:after="312" w:afterLines="100" w:line="240" w:lineRule="auto"/>
        <w:rPr>
          <w:rFonts w:ascii="宋体" w:hAnsi="宋体"/>
          <w:b/>
          <w:bCs/>
          <w:kern w:val="2"/>
          <w:sz w:val="30"/>
          <w:szCs w:val="24"/>
          <w:lang w:val="en-US"/>
        </w:rPr>
      </w:pPr>
    </w:p>
    <w:p>
      <w:pPr>
        <w:spacing w:before="312" w:beforeLines="100" w:line="180" w:lineRule="atLeast"/>
        <w:jc w:val="center"/>
        <w:rPr>
          <w:rFonts w:ascii="黑体" w:hAnsi="宋体" w:eastAsia="黑体"/>
          <w:b/>
          <w:bCs/>
          <w:sz w:val="72"/>
          <w:szCs w:val="72"/>
        </w:rPr>
      </w:pPr>
      <w:r>
        <w:rPr>
          <w:rFonts w:hint="eastAsia" w:ascii="黑体" w:hAnsi="宋体" w:eastAsia="黑体"/>
          <w:b/>
          <w:bCs/>
          <w:sz w:val="72"/>
          <w:szCs w:val="72"/>
        </w:rPr>
        <w:t>室外风环境模拟分析报告</w:t>
      </w:r>
    </w:p>
    <w:p>
      <w:pPr>
        <w:spacing w:before="312" w:beforeLines="100" w:line="180" w:lineRule="atLeast"/>
        <w:jc w:val="center"/>
        <w:rPr>
          <w:rFonts w:ascii="宋体" w:hAnsi="宋体"/>
          <w:bCs/>
          <w:sz w:val="44"/>
          <w:szCs w:val="44"/>
          <w:lang w:val="en-US"/>
        </w:rPr>
      </w:pPr>
    </w:p>
    <w:p>
      <w:pPr>
        <w:spacing w:line="180" w:lineRule="atLeast"/>
        <w:jc w:val="center"/>
        <w:rPr>
          <w:rFonts w:ascii="宋体" w:hAnsi="宋体"/>
          <w:b/>
          <w:bCs/>
          <w:sz w:val="36"/>
          <w:szCs w:val="36"/>
          <w:lang w:val="en-US"/>
        </w:rPr>
      </w:pPr>
      <w:bookmarkStart w:id="0" w:name="建筑类别"/>
      <w:bookmarkEnd w:id="0"/>
    </w:p>
    <w:tbl>
      <w:tblPr>
        <w:tblStyle w:val="21"/>
        <w:tblW w:w="558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00"/>
        <w:gridCol w:w="378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12" w:space="0"/>
              <w:bottom w:val="single" w:color="auto" w:sz="6" w:space="0"/>
            </w:tcBorders>
            <w:shd w:val="clear" w:color="auto" w:fill="E6E6E6"/>
          </w:tcPr>
          <w:p>
            <w:pPr>
              <w:pStyle w:val="18"/>
              <w:pBdr>
                <w:bottom w:val="none" w:color="auto" w:sz="0" w:space="0"/>
              </w:pBdr>
              <w:tabs>
                <w:tab w:val="clear" w:pos="4153"/>
                <w:tab w:val="clear" w:pos="8306"/>
              </w:tabs>
              <w:snapToGrid/>
              <w:jc w:val="both"/>
              <w:rPr>
                <w:rFonts w:ascii="宋体" w:hAnsi="宋体"/>
                <w:szCs w:val="21"/>
              </w:rPr>
            </w:pPr>
            <w:r>
              <w:rPr>
                <w:rFonts w:hint="eastAsia" w:ascii="宋体" w:hAnsi="宋体"/>
                <w:szCs w:val="21"/>
              </w:rPr>
              <w:t>项目名称</w:t>
            </w:r>
          </w:p>
        </w:tc>
        <w:tc>
          <w:tcPr>
            <w:tcW w:w="3780" w:type="dxa"/>
            <w:vAlign w:val="top"/>
          </w:tcPr>
          <w:p>
            <w:pPr>
              <w:pStyle w:val="17"/>
              <w:tabs>
                <w:tab w:val="clear" w:pos="4153"/>
                <w:tab w:val="clear" w:pos="8306"/>
              </w:tabs>
              <w:snapToGrid/>
              <w:jc w:val="both"/>
              <w:rPr>
                <w:rFonts w:ascii="宋体" w:hAnsi="宋体"/>
                <w:szCs w:val="21"/>
              </w:rPr>
            </w:pPr>
            <w:bookmarkStart w:id="1" w:name="项目名称"/>
            <w:bookmarkEnd w:id="1"/>
            <w:r>
              <w:rPr>
                <w:rFonts w:hint="eastAsia" w:ascii="宋体" w:hAnsi="宋体"/>
                <w:szCs w:val="21"/>
              </w:rPr>
              <w:t>溪南中心小学新建教学楼工程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pPr>
              <w:jc w:val="both"/>
              <w:rPr>
                <w:rFonts w:ascii="宋体" w:hAnsi="宋体"/>
                <w:szCs w:val="21"/>
              </w:rPr>
            </w:pPr>
            <w:r>
              <w:rPr>
                <w:rFonts w:hint="eastAsia" w:ascii="宋体" w:hAnsi="宋体"/>
                <w:szCs w:val="21"/>
              </w:rPr>
              <w:t>工程地点</w:t>
            </w:r>
          </w:p>
        </w:tc>
        <w:tc>
          <w:tcPr>
            <w:tcW w:w="3780" w:type="dxa"/>
            <w:vAlign w:val="top"/>
          </w:tcPr>
          <w:p>
            <w:pPr>
              <w:jc w:val="both"/>
              <w:rPr>
                <w:rFonts w:ascii="宋体" w:hAnsi="宋体"/>
                <w:szCs w:val="21"/>
              </w:rPr>
            </w:pPr>
            <w:r>
              <w:t>广东-汕头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pPr>
              <w:jc w:val="both"/>
              <w:rPr>
                <w:rFonts w:ascii="宋体" w:hAnsi="宋体"/>
                <w:szCs w:val="21"/>
              </w:rPr>
            </w:pPr>
            <w:r>
              <w:rPr>
                <w:rFonts w:hint="eastAsia" w:ascii="宋体" w:hAnsi="宋体"/>
                <w:szCs w:val="21"/>
              </w:rPr>
              <w:t>设计编号</w:t>
            </w:r>
          </w:p>
        </w:tc>
        <w:tc>
          <w:tcPr>
            <w:tcW w:w="3780" w:type="dxa"/>
            <w:vAlign w:val="top"/>
          </w:tcPr>
          <w:p>
            <w:pPr>
              <w:jc w:val="both"/>
              <w:rPr>
                <w:rFonts w:ascii="宋体" w:hAnsi="宋体"/>
                <w:szCs w:val="21"/>
              </w:rPr>
            </w:pPr>
            <w:bookmarkStart w:id="2" w:name="设计编号"/>
            <w:bookmarkEnd w:id="2"/>
            <w:r>
              <w:rPr>
                <w:rFonts w:hint="eastAsia" w:ascii="宋体" w:hAnsi="宋体"/>
                <w:szCs w:val="21"/>
                <w:lang w:val="en-US" w:eastAsia="zh-CN"/>
              </w:rPr>
              <w:t>HJ2018-020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pPr>
              <w:jc w:val="both"/>
              <w:rPr>
                <w:rFonts w:ascii="宋体" w:hAnsi="宋体"/>
                <w:szCs w:val="21"/>
              </w:rPr>
            </w:pPr>
            <w:r>
              <w:rPr>
                <w:rFonts w:hint="eastAsia" w:ascii="宋体" w:hAnsi="宋体"/>
                <w:szCs w:val="21"/>
              </w:rPr>
              <w:t>建设单位</w:t>
            </w:r>
          </w:p>
        </w:tc>
        <w:tc>
          <w:tcPr>
            <w:tcW w:w="3780" w:type="dxa"/>
            <w:vAlign w:val="top"/>
          </w:tcPr>
          <w:p>
            <w:pPr>
              <w:rPr>
                <w:rFonts w:ascii="宋体" w:hAnsi="宋体"/>
                <w:szCs w:val="21"/>
              </w:rPr>
            </w:pPr>
            <w:bookmarkStart w:id="3" w:name="建设单位"/>
            <w:bookmarkEnd w:id="3"/>
            <w:r>
              <w:rPr>
                <w:rFonts w:hint="eastAsia" w:ascii="宋体" w:hAnsi="宋体"/>
                <w:szCs w:val="21"/>
              </w:rPr>
              <w:t>汕头市澄海溪南中心小学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pPr>
              <w:jc w:val="both"/>
              <w:rPr>
                <w:rFonts w:ascii="宋体" w:hAnsi="宋体"/>
                <w:szCs w:val="21"/>
              </w:rPr>
            </w:pPr>
            <w:r>
              <w:rPr>
                <w:rFonts w:hint="eastAsia" w:ascii="宋体" w:hAnsi="宋体"/>
                <w:szCs w:val="21"/>
              </w:rPr>
              <w:t>设计单位</w:t>
            </w:r>
          </w:p>
        </w:tc>
        <w:tc>
          <w:tcPr>
            <w:tcW w:w="3780" w:type="dxa"/>
            <w:vAlign w:val="top"/>
          </w:tcPr>
          <w:p>
            <w:pPr>
              <w:rPr>
                <w:rFonts w:ascii="宋体" w:hAnsi="宋体"/>
                <w:szCs w:val="21"/>
              </w:rPr>
            </w:pPr>
            <w:bookmarkStart w:id="4" w:name="设计单位"/>
            <w:bookmarkEnd w:id="4"/>
            <w:r>
              <w:rPr>
                <w:rFonts w:hint="eastAsia" w:ascii="宋体" w:hAnsi="宋体"/>
                <w:szCs w:val="21"/>
              </w:rPr>
              <w:t>广东新长安建筑设计院有限公司</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pPr>
              <w:jc w:val="both"/>
              <w:rPr>
                <w:rFonts w:ascii="宋体" w:hAnsi="宋体"/>
                <w:szCs w:val="21"/>
              </w:rPr>
            </w:pPr>
            <w:r>
              <w:rPr>
                <w:rFonts w:hint="eastAsia" w:ascii="宋体" w:hAnsi="宋体"/>
                <w:szCs w:val="21"/>
              </w:rPr>
              <w:t>设 计 人</w:t>
            </w:r>
          </w:p>
        </w:tc>
        <w:tc>
          <w:tcPr>
            <w:tcW w:w="3780" w:type="dxa"/>
            <w:vAlign w:val="top"/>
          </w:tcPr>
          <w:p>
            <w:pPr>
              <w:rPr>
                <w:rFonts w:ascii="宋体" w:hAnsi="宋体"/>
                <w:szCs w:val="21"/>
              </w:rPr>
            </w:pPr>
            <w:r>
              <w:rPr>
                <w:rFonts w:hint="eastAsia" w:ascii="宋体" w:hAnsi="宋体"/>
                <w:szCs w:val="21"/>
              </w:rPr>
              <w:t>郑智聪</w:t>
            </w:r>
            <w:bookmarkStart w:id="135" w:name="_GoBack"/>
            <w:bookmarkEnd w:id="135"/>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pPr>
              <w:jc w:val="both"/>
              <w:rPr>
                <w:rFonts w:ascii="宋体" w:hAnsi="宋体"/>
                <w:szCs w:val="21"/>
              </w:rPr>
            </w:pPr>
            <w:r>
              <w:rPr>
                <w:rFonts w:hint="eastAsia" w:ascii="宋体" w:hAnsi="宋体"/>
                <w:szCs w:val="21"/>
              </w:rPr>
              <w:t>校 对 人</w:t>
            </w:r>
          </w:p>
        </w:tc>
        <w:tc>
          <w:tcPr>
            <w:tcW w:w="3780" w:type="dxa"/>
            <w:vAlign w:val="top"/>
          </w:tcPr>
          <w:p>
            <w:pPr>
              <w:rPr>
                <w:rFonts w:ascii="宋体" w:hAnsi="宋体"/>
                <w:szCs w:val="21"/>
              </w:rPr>
            </w:pPr>
            <w:r>
              <w:rPr>
                <w:rFonts w:hint="eastAsia" w:ascii="宋体" w:hAnsi="宋体"/>
                <w:szCs w:val="21"/>
              </w:rPr>
              <w:t>林炜杰</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pPr>
              <w:jc w:val="both"/>
              <w:rPr>
                <w:rFonts w:ascii="宋体" w:hAnsi="宋体"/>
                <w:szCs w:val="21"/>
              </w:rPr>
            </w:pPr>
            <w:r>
              <w:rPr>
                <w:rFonts w:hint="eastAsia" w:ascii="宋体" w:hAnsi="宋体"/>
                <w:szCs w:val="21"/>
              </w:rPr>
              <w:t>审 核 人</w:t>
            </w:r>
          </w:p>
        </w:tc>
        <w:tc>
          <w:tcPr>
            <w:tcW w:w="3780" w:type="dxa"/>
            <w:vAlign w:val="top"/>
          </w:tcPr>
          <w:p>
            <w:pPr>
              <w:rPr>
                <w:rFonts w:ascii="宋体" w:hAnsi="宋体"/>
                <w:szCs w:val="21"/>
              </w:rPr>
            </w:pPr>
            <w:r>
              <w:rPr>
                <w:rFonts w:hint="eastAsia" w:ascii="宋体" w:hAnsi="宋体"/>
                <w:szCs w:val="21"/>
              </w:rPr>
              <w:t>蔡可斌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pPr>
              <w:jc w:val="both"/>
              <w:rPr>
                <w:rFonts w:ascii="宋体" w:hAnsi="宋体"/>
                <w:szCs w:val="21"/>
              </w:rPr>
            </w:pPr>
            <w:r>
              <w:rPr>
                <w:rFonts w:hint="eastAsia" w:ascii="宋体" w:hAnsi="宋体"/>
                <w:szCs w:val="21"/>
              </w:rPr>
              <w:t>审 定 人</w:t>
            </w:r>
          </w:p>
        </w:tc>
        <w:tc>
          <w:tcPr>
            <w:tcW w:w="3780" w:type="dxa"/>
            <w:vAlign w:val="top"/>
          </w:tcPr>
          <w:p>
            <w:pPr>
              <w:rPr>
                <w:rFonts w:ascii="宋体" w:hAnsi="宋体"/>
                <w:szCs w:val="21"/>
              </w:rPr>
            </w:pPr>
            <w:r>
              <w:rPr>
                <w:rFonts w:hint="eastAsia" w:ascii="宋体" w:hAnsi="宋体"/>
                <w:szCs w:val="21"/>
              </w:rPr>
              <w:t>蔡可斌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800" w:type="dxa"/>
            <w:tcBorders>
              <w:top w:val="single" w:color="auto" w:sz="6" w:space="0"/>
              <w:bottom w:val="single" w:color="auto" w:sz="12" w:space="0"/>
            </w:tcBorders>
            <w:shd w:val="clear" w:color="auto" w:fill="E6E6E6"/>
          </w:tcPr>
          <w:p>
            <w:pPr>
              <w:jc w:val="both"/>
              <w:rPr>
                <w:rFonts w:ascii="宋体" w:hAnsi="宋体"/>
                <w:szCs w:val="21"/>
              </w:rPr>
            </w:pPr>
            <w:r>
              <w:rPr>
                <w:rFonts w:hint="eastAsia" w:ascii="宋体" w:hAnsi="宋体"/>
                <w:szCs w:val="21"/>
              </w:rPr>
              <w:t>设计日期</w:t>
            </w:r>
          </w:p>
        </w:tc>
        <w:tc>
          <w:tcPr>
            <w:tcW w:w="3780" w:type="dxa"/>
          </w:tcPr>
          <w:p>
            <w:pPr>
              <w:rPr>
                <w:rFonts w:ascii="宋体" w:hAnsi="宋体"/>
                <w:szCs w:val="21"/>
              </w:rPr>
            </w:pPr>
            <w:bookmarkStart w:id="5" w:name="报告日期"/>
            <w:r>
              <w:rPr>
                <w:rFonts w:hint="eastAsia" w:ascii="宋体" w:hAnsi="宋体"/>
                <w:szCs w:val="21"/>
              </w:rPr>
              <w:t>2019年0</w:t>
            </w:r>
            <w:r>
              <w:rPr>
                <w:rFonts w:hint="eastAsia" w:ascii="宋体" w:hAnsi="宋体"/>
                <w:szCs w:val="21"/>
                <w:lang w:val="en-US" w:eastAsia="zh-CN"/>
              </w:rPr>
              <w:t>6</w:t>
            </w:r>
            <w:r>
              <w:rPr>
                <w:rFonts w:hint="eastAsia" w:ascii="宋体" w:hAnsi="宋体"/>
                <w:szCs w:val="21"/>
              </w:rPr>
              <w:t>月</w:t>
            </w:r>
            <w:r>
              <w:rPr>
                <w:rFonts w:hint="eastAsia" w:ascii="宋体" w:hAnsi="宋体"/>
                <w:szCs w:val="21"/>
                <w:lang w:val="en-US" w:eastAsia="zh-CN"/>
              </w:rPr>
              <w:t>30</w:t>
            </w:r>
            <w:r>
              <w:rPr>
                <w:rFonts w:hint="eastAsia" w:ascii="宋体" w:hAnsi="宋体"/>
                <w:szCs w:val="21"/>
              </w:rPr>
              <w:t>日</w:t>
            </w:r>
            <w:bookmarkEnd w:id="5"/>
          </w:p>
        </w:tc>
      </w:tr>
    </w:tbl>
    <w:p>
      <w:pPr>
        <w:spacing w:line="240" w:lineRule="auto"/>
        <w:rPr>
          <w:rFonts w:ascii="宋体" w:hAnsi="宋体"/>
          <w:lang w:val="en-US"/>
        </w:rPr>
      </w:pPr>
    </w:p>
    <w:p>
      <w:pPr>
        <w:spacing w:line="240" w:lineRule="auto"/>
        <w:rPr>
          <w:rFonts w:ascii="宋体" w:hAnsi="宋体"/>
          <w:lang w:val="en-US"/>
        </w:rPr>
      </w:pPr>
    </w:p>
    <w:p>
      <w:pPr>
        <w:spacing w:line="240" w:lineRule="auto"/>
        <w:rPr>
          <w:rFonts w:ascii="宋体" w:hAnsi="宋体"/>
          <w:lang w:val="en-US"/>
        </w:rPr>
      </w:pPr>
    </w:p>
    <w:p>
      <w:pPr>
        <w:spacing w:line="240" w:lineRule="auto"/>
        <w:jc w:val="center"/>
        <w:rPr>
          <w:rFonts w:ascii="宋体" w:hAnsi="宋体"/>
          <w:lang w:val="en-US"/>
        </w:rPr>
      </w:pPr>
      <w:bookmarkStart w:id="6" w:name="二维码"/>
      <w:bookmarkEnd w:id="6"/>
      <w:r>
        <w:rPr>
          <w:lang w:val="en-US"/>
        </w:rPr>
        <w:drawing>
          <wp:inline distT="0" distB="0" distL="0" distR="0">
            <wp:extent cx="1514475" cy="151447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7"/>
                    <a:stretch>
                      <a:fillRect/>
                    </a:stretch>
                  </pic:blipFill>
                  <pic:spPr>
                    <a:xfrm>
                      <a:off x="0" y="0"/>
                      <a:ext cx="1514634" cy="1514634"/>
                    </a:xfrm>
                    <a:prstGeom prst="rect">
                      <a:avLst/>
                    </a:prstGeom>
                  </pic:spPr>
                </pic:pic>
              </a:graphicData>
            </a:graphic>
          </wp:inline>
        </w:drawing>
      </w:r>
    </w:p>
    <w:p>
      <w:pPr>
        <w:spacing w:line="240" w:lineRule="auto"/>
        <w:rPr>
          <w:rFonts w:ascii="宋体" w:hAnsi="宋体"/>
          <w:lang w:val="en-US"/>
        </w:rPr>
      </w:pPr>
    </w:p>
    <w:p>
      <w:pPr>
        <w:spacing w:line="240" w:lineRule="auto"/>
        <w:jc w:val="center"/>
        <w:rPr>
          <w:rFonts w:ascii="宋体" w:hAnsi="宋体"/>
          <w:b/>
          <w:bCs/>
          <w:sz w:val="30"/>
          <w:szCs w:val="32"/>
        </w:rPr>
      </w:pPr>
    </w:p>
    <w:tbl>
      <w:tblPr>
        <w:tblStyle w:val="21"/>
        <w:tblpPr w:leftFromText="180" w:rightFromText="180" w:vertAnchor="text" w:tblpXSpec="center" w:tblpY="1"/>
        <w:tblOverlap w:val="never"/>
        <w:tblW w:w="5580"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37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597" w:hRule="exact"/>
        </w:trPr>
        <w:tc>
          <w:tcPr>
            <w:tcW w:w="1800" w:type="dxa"/>
            <w:shd w:val="clear" w:color="auto" w:fill="E6E6E6"/>
            <w:vAlign w:val="center"/>
          </w:tcPr>
          <w:p>
            <w:pPr>
              <w:pStyle w:val="18"/>
              <w:pBdr>
                <w:bottom w:val="none" w:color="auto" w:sz="0" w:space="0"/>
              </w:pBdr>
              <w:tabs>
                <w:tab w:val="clear" w:pos="4153"/>
                <w:tab w:val="clear" w:pos="8306"/>
              </w:tabs>
              <w:snapToGrid/>
              <w:spacing w:line="240" w:lineRule="auto"/>
              <w:jc w:val="both"/>
              <w:rPr>
                <w:rFonts w:ascii="宋体" w:hAnsi="宋体"/>
              </w:rPr>
            </w:pPr>
            <w:r>
              <w:rPr>
                <w:rFonts w:hint="eastAsia" w:ascii="宋体" w:hAnsi="宋体"/>
              </w:rPr>
              <w:t>采用软件</w:t>
            </w:r>
          </w:p>
        </w:tc>
        <w:tc>
          <w:tcPr>
            <w:tcW w:w="3780" w:type="dxa"/>
            <w:shd w:val="clear" w:color="auto" w:fill="auto"/>
            <w:vAlign w:val="center"/>
          </w:tcPr>
          <w:p>
            <w:pPr>
              <w:pStyle w:val="18"/>
              <w:pBdr>
                <w:bottom w:val="none" w:color="auto" w:sz="0" w:space="0"/>
              </w:pBdr>
              <w:tabs>
                <w:tab w:val="clear" w:pos="4153"/>
                <w:tab w:val="clear" w:pos="8306"/>
              </w:tabs>
              <w:snapToGrid/>
              <w:spacing w:line="240" w:lineRule="auto"/>
              <w:jc w:val="both"/>
              <w:rPr>
                <w:rFonts w:ascii="宋体" w:hAnsi="宋体"/>
              </w:rPr>
            </w:pPr>
            <w:r>
              <w:rPr>
                <w:rFonts w:hint="eastAsia" w:ascii="宋体" w:hAnsi="宋体"/>
              </w:rPr>
              <w:t>绿建斯维尔建筑通风计算软件Vent201</w:t>
            </w:r>
            <w:r>
              <w:rPr>
                <w:rFonts w:ascii="宋体" w:hAnsi="宋体"/>
              </w:rPr>
              <w:t>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405" w:hRule="atLeast"/>
        </w:trPr>
        <w:tc>
          <w:tcPr>
            <w:tcW w:w="1800" w:type="dxa"/>
            <w:tcBorders>
              <w:top w:val="single" w:color="auto" w:sz="4" w:space="0"/>
              <w:bottom w:val="single" w:color="auto" w:sz="4" w:space="0"/>
              <w:right w:val="single" w:color="auto" w:sz="4" w:space="0"/>
            </w:tcBorders>
            <w:shd w:val="clear" w:color="auto" w:fill="E6E6E6"/>
            <w:vAlign w:val="center"/>
          </w:tcPr>
          <w:p>
            <w:pPr>
              <w:spacing w:line="240" w:lineRule="auto"/>
              <w:jc w:val="both"/>
              <w:rPr>
                <w:rFonts w:ascii="宋体" w:hAnsi="宋体"/>
                <w:szCs w:val="18"/>
              </w:rPr>
            </w:pPr>
            <w:r>
              <w:rPr>
                <w:rFonts w:hint="eastAsia" w:ascii="宋体" w:hAnsi="宋体"/>
                <w:szCs w:val="18"/>
              </w:rPr>
              <w:t>研发单位</w:t>
            </w:r>
          </w:p>
        </w:tc>
        <w:tc>
          <w:tcPr>
            <w:tcW w:w="3780" w:type="dxa"/>
            <w:tcBorders>
              <w:top w:val="single" w:color="auto" w:sz="4" w:space="0"/>
              <w:left w:val="single" w:color="auto" w:sz="4" w:space="0"/>
              <w:bottom w:val="single" w:color="auto" w:sz="4" w:space="0"/>
            </w:tcBorders>
            <w:shd w:val="clear" w:color="auto" w:fill="FFFFFF"/>
            <w:vAlign w:val="center"/>
          </w:tcPr>
          <w:p>
            <w:pPr>
              <w:spacing w:line="240" w:lineRule="auto"/>
              <w:jc w:val="both"/>
              <w:rPr>
                <w:rFonts w:ascii="宋体" w:hAnsi="宋体"/>
                <w:szCs w:val="18"/>
              </w:rPr>
            </w:pPr>
            <w:r>
              <w:rPr>
                <w:rFonts w:ascii="宋体" w:hAnsi="宋体"/>
                <w:szCs w:val="18"/>
              </w:rPr>
              <w:t>北京绿建软件有限公司</w:t>
            </w:r>
          </w:p>
          <w:p>
            <w:pPr>
              <w:spacing w:line="240" w:lineRule="auto"/>
              <w:jc w:val="both"/>
              <w:rPr>
                <w:rFonts w:ascii="宋体" w:hAnsi="宋体"/>
                <w:szCs w:val="18"/>
              </w:rPr>
            </w:pPr>
            <w:r>
              <w:rPr>
                <w:rFonts w:hint="eastAsia" w:ascii="宋体" w:hAnsi="宋体"/>
                <w:szCs w:val="18"/>
              </w:rPr>
              <w:t>深圳市斯维尔科技有限公司</w:t>
            </w:r>
          </w:p>
        </w:tc>
      </w:tr>
    </w:tbl>
    <w:p>
      <w:pPr>
        <w:spacing w:line="240" w:lineRule="auto"/>
        <w:jc w:val="center"/>
        <w:rPr>
          <w:rFonts w:ascii="宋体" w:hAnsi="宋体"/>
          <w:b/>
          <w:bCs/>
          <w:sz w:val="32"/>
          <w:szCs w:val="32"/>
        </w:rPr>
      </w:pPr>
      <w:r>
        <w:rPr>
          <w:rFonts w:ascii="宋体" w:hAnsi="宋体"/>
          <w:b/>
          <w:bCs/>
          <w:sz w:val="32"/>
          <w:szCs w:val="32"/>
        </w:rPr>
        <w:br w:type="page"/>
      </w:r>
      <w:r>
        <w:rPr>
          <w:rFonts w:hint="eastAsia" w:ascii="宋体" w:hAnsi="宋体"/>
          <w:b/>
          <w:bCs/>
          <w:sz w:val="24"/>
          <w:szCs w:val="32"/>
        </w:rPr>
        <w:t>目  录</w:t>
      </w:r>
    </w:p>
    <w:p>
      <w:pPr>
        <w:pStyle w:val="19"/>
        <w:keepNext w:val="0"/>
        <w:keepLines w:val="0"/>
        <w:pageBreakBefore w:val="0"/>
        <w:widowControl/>
        <w:tabs>
          <w:tab w:val="right" w:leader="dot" w:pos="9070"/>
          <w:tab w:val="clear" w:pos="180"/>
          <w:tab w:val="clear" w:pos="42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val="0"/>
          <w:bCs w:val="0"/>
          <w:caps/>
          <w:sz w:val="24"/>
          <w:szCs w:val="24"/>
        </w:rPr>
        <w:fldChar w:fldCharType="begin"/>
      </w:r>
      <w:r>
        <w:rPr>
          <w:rFonts w:hint="eastAsia" w:asciiTheme="majorEastAsia" w:hAnsiTheme="majorEastAsia" w:eastAsiaTheme="majorEastAsia" w:cstheme="majorEastAsia"/>
          <w:b w:val="0"/>
          <w:bCs w:val="0"/>
          <w:caps/>
          <w:sz w:val="24"/>
          <w:szCs w:val="24"/>
        </w:rPr>
        <w:instrText xml:space="preserve"> TOC \o "2-3" \f \h \z \t "标题 1,1" </w:instrText>
      </w:r>
      <w:r>
        <w:rPr>
          <w:rFonts w:hint="eastAsia" w:asciiTheme="majorEastAsia" w:hAnsiTheme="majorEastAsia" w:eastAsiaTheme="majorEastAsia" w:cstheme="majorEastAsia"/>
          <w:b w:val="0"/>
          <w:bCs w:val="0"/>
          <w:caps/>
          <w:sz w:val="24"/>
          <w:szCs w:val="24"/>
        </w:rPr>
        <w:fldChar w:fldCharType="separate"/>
      </w:r>
      <w:r>
        <w:rPr>
          <w:rFonts w:hint="eastAsia" w:asciiTheme="majorEastAsia" w:hAnsiTheme="majorEastAsia" w:eastAsiaTheme="majorEastAsia" w:cstheme="majorEastAsia"/>
          <w:bCs w:val="0"/>
          <w:caps/>
          <w:sz w:val="24"/>
          <w:szCs w:val="24"/>
        </w:rPr>
        <w:fldChar w:fldCharType="begin"/>
      </w:r>
      <w:r>
        <w:rPr>
          <w:rFonts w:hint="eastAsia" w:asciiTheme="majorEastAsia" w:hAnsiTheme="majorEastAsia" w:eastAsiaTheme="majorEastAsia" w:cstheme="majorEastAsia"/>
          <w:bCs w:val="0"/>
          <w:caps/>
          <w:sz w:val="24"/>
          <w:szCs w:val="24"/>
        </w:rPr>
        <w:instrText xml:space="preserve"> HYPERLINK \l _Toc15389 </w:instrText>
      </w:r>
      <w:r>
        <w:rPr>
          <w:rFonts w:hint="eastAsia" w:asciiTheme="majorEastAsia" w:hAnsiTheme="majorEastAsia" w:eastAsiaTheme="majorEastAsia" w:cstheme="majorEastAsia"/>
          <w:bCs w:val="0"/>
          <w:caps/>
          <w:sz w:val="24"/>
          <w:szCs w:val="24"/>
        </w:rPr>
        <w:fldChar w:fldCharType="separate"/>
      </w:r>
      <w:r>
        <w:rPr>
          <w:rFonts w:hint="eastAsia" w:asciiTheme="majorEastAsia" w:hAnsiTheme="majorEastAsia" w:eastAsiaTheme="majorEastAsia" w:cstheme="majorEastAsia"/>
          <w:sz w:val="24"/>
          <w:szCs w:val="24"/>
        </w:rPr>
        <w:t>1 项目概况</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_Toc15389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4</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bCs w:val="0"/>
          <w:caps/>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_Toc30604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1.1 </w:t>
      </w:r>
      <w:r>
        <w:rPr>
          <w:rFonts w:hint="eastAsia" w:asciiTheme="majorEastAsia" w:hAnsiTheme="majorEastAsia" w:eastAsiaTheme="majorEastAsia" w:cstheme="majorEastAsia"/>
          <w:sz w:val="24"/>
          <w:szCs w:val="24"/>
        </w:rPr>
        <w:t>总平面图</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_Toc30604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5</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9"/>
        <w:keepNext w:val="0"/>
        <w:keepLines w:val="0"/>
        <w:pageBreakBefore w:val="0"/>
        <w:widowControl/>
        <w:tabs>
          <w:tab w:val="right" w:leader="dot" w:pos="9070"/>
          <w:tab w:val="clear" w:pos="180"/>
          <w:tab w:val="clear" w:pos="42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_Toc13453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2 计算依据</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_Toc13453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6</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9"/>
        <w:keepNext w:val="0"/>
        <w:keepLines w:val="0"/>
        <w:pageBreakBefore w:val="0"/>
        <w:widowControl/>
        <w:tabs>
          <w:tab w:val="right" w:leader="dot" w:pos="9070"/>
          <w:tab w:val="clear" w:pos="180"/>
          <w:tab w:val="clear" w:pos="42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_Toc23185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3 参考标准</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_Toc23185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6</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9"/>
        <w:keepNext w:val="0"/>
        <w:keepLines w:val="0"/>
        <w:pageBreakBefore w:val="0"/>
        <w:widowControl/>
        <w:tabs>
          <w:tab w:val="right" w:leader="dot" w:pos="9070"/>
          <w:tab w:val="clear" w:pos="180"/>
          <w:tab w:val="clear" w:pos="42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_Toc4258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4 计算原理</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_Toc4258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6</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_Toc30854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4.1 </w:t>
      </w:r>
      <w:r>
        <w:rPr>
          <w:rFonts w:hint="eastAsia" w:asciiTheme="majorEastAsia" w:hAnsiTheme="majorEastAsia" w:eastAsiaTheme="majorEastAsia" w:cstheme="majorEastAsia"/>
          <w:sz w:val="24"/>
          <w:szCs w:val="24"/>
        </w:rPr>
        <w:t>风场计算域</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_Toc30854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6</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_Toc23367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4.2 </w:t>
      </w:r>
      <w:r>
        <w:rPr>
          <w:rFonts w:hint="eastAsia" w:asciiTheme="majorEastAsia" w:hAnsiTheme="majorEastAsia" w:eastAsiaTheme="majorEastAsia" w:cstheme="majorEastAsia"/>
          <w:sz w:val="24"/>
          <w:szCs w:val="24"/>
        </w:rPr>
        <w:t>网格划分</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_Toc23367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6</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_Toc31149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4.3 </w:t>
      </w:r>
      <w:r>
        <w:rPr>
          <w:rFonts w:hint="eastAsia" w:asciiTheme="majorEastAsia" w:hAnsiTheme="majorEastAsia" w:eastAsiaTheme="majorEastAsia" w:cstheme="majorEastAsia"/>
          <w:sz w:val="24"/>
          <w:szCs w:val="24"/>
        </w:rPr>
        <w:t>边界条件</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_Toc31149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8</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_Toc18605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4.3.1 </w:t>
      </w:r>
      <w:r>
        <w:rPr>
          <w:rFonts w:hint="eastAsia" w:asciiTheme="majorEastAsia" w:hAnsiTheme="majorEastAsia" w:eastAsiaTheme="majorEastAsia" w:cstheme="majorEastAsia"/>
          <w:sz w:val="24"/>
          <w:szCs w:val="24"/>
        </w:rPr>
        <w:t>入口与出口边界条件</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_Toc18605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8</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_Toc8838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4.3.2 </w:t>
      </w:r>
      <w:r>
        <w:rPr>
          <w:rFonts w:hint="eastAsia" w:asciiTheme="majorEastAsia" w:hAnsiTheme="majorEastAsia" w:eastAsiaTheme="majorEastAsia" w:cstheme="majorEastAsia"/>
          <w:sz w:val="24"/>
          <w:szCs w:val="24"/>
        </w:rPr>
        <w:t>壁面边界条件</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_Toc8838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9</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_Toc12322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4.4 </w:t>
      </w:r>
      <w:r>
        <w:rPr>
          <w:rFonts w:hint="eastAsia" w:asciiTheme="majorEastAsia" w:hAnsiTheme="majorEastAsia" w:eastAsiaTheme="majorEastAsia" w:cstheme="majorEastAsia"/>
          <w:sz w:val="24"/>
          <w:szCs w:val="24"/>
        </w:rPr>
        <w:t>湍流模型</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_Toc12322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9</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_Toc9928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4.5 </w:t>
      </w:r>
      <w:r>
        <w:rPr>
          <w:rFonts w:hint="eastAsia" w:asciiTheme="majorEastAsia" w:hAnsiTheme="majorEastAsia" w:eastAsiaTheme="majorEastAsia" w:cstheme="majorEastAsia"/>
          <w:sz w:val="24"/>
          <w:szCs w:val="24"/>
        </w:rPr>
        <w:t>求解计算</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_Toc9928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9</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_Toc20887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4.6 </w:t>
      </w:r>
      <w:r>
        <w:rPr>
          <w:rFonts w:hint="eastAsia" w:asciiTheme="majorEastAsia" w:hAnsiTheme="majorEastAsia" w:eastAsiaTheme="majorEastAsia" w:cstheme="majorEastAsia"/>
          <w:sz w:val="24"/>
          <w:szCs w:val="24"/>
        </w:rPr>
        <w:t>风速放大系数计算</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_Toc20887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11</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9"/>
        <w:keepNext w:val="0"/>
        <w:keepLines w:val="0"/>
        <w:pageBreakBefore w:val="0"/>
        <w:widowControl/>
        <w:tabs>
          <w:tab w:val="right" w:leader="dot" w:pos="9070"/>
          <w:tab w:val="clear" w:pos="180"/>
          <w:tab w:val="clear" w:pos="42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_Toc11364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5 结果分析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_Toc11364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12</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_Toc25693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5.1 </w:t>
      </w:r>
      <w:r>
        <w:rPr>
          <w:rFonts w:hint="eastAsia" w:asciiTheme="majorEastAsia" w:hAnsiTheme="majorEastAsia" w:eastAsiaTheme="majorEastAsia" w:cstheme="majorEastAsia"/>
          <w:sz w:val="24"/>
          <w:szCs w:val="24"/>
        </w:rPr>
        <w:t>工况表</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_Toc25693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12</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_Toc6404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5.2 </w:t>
      </w:r>
      <w:r>
        <w:rPr>
          <w:rFonts w:hint="eastAsia" w:asciiTheme="majorEastAsia" w:hAnsiTheme="majorEastAsia" w:eastAsiaTheme="majorEastAsia" w:cstheme="majorEastAsia"/>
          <w:sz w:val="24"/>
          <w:szCs w:val="24"/>
        </w:rPr>
        <w:t>冬季工况</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_Toc6404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12</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_Toc206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5.2.1 </w:t>
      </w:r>
      <w:r>
        <w:rPr>
          <w:rFonts w:hint="eastAsia" w:asciiTheme="majorEastAsia" w:hAnsiTheme="majorEastAsia" w:eastAsiaTheme="majorEastAsia" w:cstheme="majorEastAsia"/>
          <w:sz w:val="24"/>
          <w:szCs w:val="24"/>
        </w:rPr>
        <w:t>风速达标分析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_Toc206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12</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_Toc9697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5.2.2 </w:t>
      </w:r>
      <w:r>
        <w:rPr>
          <w:rFonts w:hint="eastAsia" w:asciiTheme="majorEastAsia" w:hAnsiTheme="majorEastAsia" w:eastAsiaTheme="majorEastAsia" w:cstheme="majorEastAsia"/>
          <w:sz w:val="24"/>
          <w:szCs w:val="24"/>
        </w:rPr>
        <w:t>风速放大系数达标分析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_Toc9697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13</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_Toc6213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5.2.3 人行区域</w:t>
      </w:r>
      <w:r>
        <w:rPr>
          <w:rFonts w:hint="eastAsia" w:asciiTheme="majorEastAsia" w:hAnsiTheme="majorEastAsia" w:eastAsiaTheme="majorEastAsia" w:cstheme="majorEastAsia"/>
          <w:sz w:val="24"/>
          <w:szCs w:val="24"/>
        </w:rPr>
        <w:t>冬季工况风速/风速放大系数达标判定</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_Toc6213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14</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_Toc30576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5.2.4 </w:t>
      </w:r>
      <w:r>
        <w:rPr>
          <w:rFonts w:hint="eastAsia" w:asciiTheme="majorEastAsia" w:hAnsiTheme="majorEastAsia" w:eastAsiaTheme="majorEastAsia" w:cstheme="majorEastAsia"/>
          <w:sz w:val="24"/>
          <w:szCs w:val="24"/>
        </w:rPr>
        <w:t>建筑迎风面和背风面风压分析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_Toc30576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14</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_Toc25941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5.3 </w:t>
      </w:r>
      <w:r>
        <w:rPr>
          <w:rFonts w:hint="eastAsia" w:asciiTheme="majorEastAsia" w:hAnsiTheme="majorEastAsia" w:eastAsiaTheme="majorEastAsia" w:cstheme="majorEastAsia"/>
          <w:sz w:val="24"/>
          <w:szCs w:val="24"/>
        </w:rPr>
        <w:t>夏季工况</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_Toc25941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15</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_Toc11814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5.3.1 </w:t>
      </w:r>
      <w:r>
        <w:rPr>
          <w:rFonts w:hint="eastAsia" w:asciiTheme="majorEastAsia" w:hAnsiTheme="majorEastAsia" w:eastAsiaTheme="majorEastAsia" w:cstheme="majorEastAsia"/>
          <w:sz w:val="24"/>
          <w:szCs w:val="24"/>
        </w:rPr>
        <w:t>无风区计算分析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_Toc11814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16</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_Toc15907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5.3.2 </w:t>
      </w:r>
      <w:r>
        <w:rPr>
          <w:rFonts w:hint="eastAsia" w:asciiTheme="majorEastAsia" w:hAnsiTheme="majorEastAsia" w:eastAsiaTheme="majorEastAsia" w:cstheme="majorEastAsia"/>
          <w:sz w:val="24"/>
          <w:szCs w:val="24"/>
        </w:rPr>
        <w:t>旋涡区分析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_Toc15907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16</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_Toc10507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5.3.3 </w:t>
      </w:r>
      <w:r>
        <w:rPr>
          <w:rFonts w:hint="eastAsia" w:asciiTheme="majorEastAsia" w:hAnsiTheme="majorEastAsia" w:eastAsiaTheme="majorEastAsia" w:cstheme="majorEastAsia"/>
          <w:sz w:val="24"/>
          <w:szCs w:val="24"/>
        </w:rPr>
        <w:t>人行区域旋涡区/无风区达标判定</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_Toc10507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17</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_Toc18730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5.3.4 </w:t>
      </w:r>
      <w:r>
        <w:rPr>
          <w:rFonts w:hint="eastAsia" w:asciiTheme="majorEastAsia" w:hAnsiTheme="majorEastAsia" w:eastAsiaTheme="majorEastAsia" w:cstheme="majorEastAsia"/>
          <w:sz w:val="24"/>
          <w:szCs w:val="24"/>
        </w:rPr>
        <w:t>外窗内外表面风压差达标分析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_Toc18730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17</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_Toc29176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5.4 </w:t>
      </w:r>
      <w:r>
        <w:rPr>
          <w:rFonts w:hint="eastAsia" w:asciiTheme="majorEastAsia" w:hAnsiTheme="majorEastAsia" w:eastAsiaTheme="majorEastAsia" w:cstheme="majorEastAsia"/>
          <w:sz w:val="24"/>
          <w:szCs w:val="24"/>
          <w:lang w:val="en-US" w:eastAsia="zh-CN"/>
        </w:rPr>
        <w:t>春</w:t>
      </w:r>
      <w:r>
        <w:rPr>
          <w:rFonts w:hint="eastAsia" w:asciiTheme="majorEastAsia" w:hAnsiTheme="majorEastAsia" w:eastAsiaTheme="majorEastAsia" w:cstheme="majorEastAsia"/>
          <w:sz w:val="24"/>
          <w:szCs w:val="24"/>
        </w:rPr>
        <w:t>季工况</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_Toc29176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18</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_Toc6399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5.4.1 </w:t>
      </w:r>
      <w:r>
        <w:rPr>
          <w:rFonts w:hint="eastAsia" w:asciiTheme="majorEastAsia" w:hAnsiTheme="majorEastAsia" w:eastAsiaTheme="majorEastAsia" w:cstheme="majorEastAsia"/>
          <w:sz w:val="24"/>
          <w:szCs w:val="24"/>
        </w:rPr>
        <w:t>无风区计算分析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_Toc6399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18</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_Toc18631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5.4.2 </w:t>
      </w:r>
      <w:r>
        <w:rPr>
          <w:rFonts w:hint="eastAsia" w:asciiTheme="majorEastAsia" w:hAnsiTheme="majorEastAsia" w:eastAsiaTheme="majorEastAsia" w:cstheme="majorEastAsia"/>
          <w:sz w:val="24"/>
          <w:szCs w:val="24"/>
        </w:rPr>
        <w:t>旋涡区分析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_Toc18631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19</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_Toc28485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5.4.3 </w:t>
      </w:r>
      <w:r>
        <w:rPr>
          <w:rFonts w:hint="eastAsia" w:asciiTheme="majorEastAsia" w:hAnsiTheme="majorEastAsia" w:eastAsiaTheme="majorEastAsia" w:cstheme="majorEastAsia"/>
          <w:sz w:val="24"/>
          <w:szCs w:val="24"/>
        </w:rPr>
        <w:t>人行区域旋涡区/无风区达标判定</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_Toc28485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19</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_Toc11517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5.4.4 </w:t>
      </w:r>
      <w:r>
        <w:rPr>
          <w:rFonts w:hint="eastAsia" w:asciiTheme="majorEastAsia" w:hAnsiTheme="majorEastAsia" w:eastAsiaTheme="majorEastAsia" w:cstheme="majorEastAsia"/>
          <w:sz w:val="24"/>
          <w:szCs w:val="24"/>
        </w:rPr>
        <w:t>外窗内外表面风压差达标分析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_Toc11517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19</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_Toc10289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5.5 </w:t>
      </w:r>
      <w:r>
        <w:rPr>
          <w:rFonts w:hint="eastAsia" w:asciiTheme="majorEastAsia" w:hAnsiTheme="majorEastAsia" w:eastAsiaTheme="majorEastAsia" w:cstheme="majorEastAsia"/>
          <w:sz w:val="24"/>
          <w:szCs w:val="24"/>
          <w:lang w:val="en-US" w:eastAsia="zh-CN"/>
        </w:rPr>
        <w:t>秋</w:t>
      </w:r>
      <w:r>
        <w:rPr>
          <w:rFonts w:hint="eastAsia" w:asciiTheme="majorEastAsia" w:hAnsiTheme="majorEastAsia" w:eastAsiaTheme="majorEastAsia" w:cstheme="majorEastAsia"/>
          <w:sz w:val="24"/>
          <w:szCs w:val="24"/>
        </w:rPr>
        <w:t>季工况</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_Toc10289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20</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_Toc431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5.5.1 </w:t>
      </w:r>
      <w:r>
        <w:rPr>
          <w:rFonts w:hint="eastAsia" w:asciiTheme="majorEastAsia" w:hAnsiTheme="majorEastAsia" w:eastAsiaTheme="majorEastAsia" w:cstheme="majorEastAsia"/>
          <w:sz w:val="24"/>
          <w:szCs w:val="24"/>
        </w:rPr>
        <w:t>无风区计算分析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_Toc431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20</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_Toc6996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5.5.2 </w:t>
      </w:r>
      <w:r>
        <w:rPr>
          <w:rFonts w:hint="eastAsia" w:asciiTheme="majorEastAsia" w:hAnsiTheme="majorEastAsia" w:eastAsiaTheme="majorEastAsia" w:cstheme="majorEastAsia"/>
          <w:sz w:val="24"/>
          <w:szCs w:val="24"/>
        </w:rPr>
        <w:t>旋涡区分析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_Toc6996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21</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_Toc1464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5.5.3 </w:t>
      </w:r>
      <w:r>
        <w:rPr>
          <w:rFonts w:hint="eastAsia" w:asciiTheme="majorEastAsia" w:hAnsiTheme="majorEastAsia" w:eastAsiaTheme="majorEastAsia" w:cstheme="majorEastAsia"/>
          <w:sz w:val="24"/>
          <w:szCs w:val="24"/>
        </w:rPr>
        <w:t>人行区域旋涡区/无风区达标判定</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_Toc1464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21</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_Toc25473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5.5.4 </w:t>
      </w:r>
      <w:r>
        <w:rPr>
          <w:rFonts w:hint="eastAsia" w:asciiTheme="majorEastAsia" w:hAnsiTheme="majorEastAsia" w:eastAsiaTheme="majorEastAsia" w:cstheme="majorEastAsia"/>
          <w:sz w:val="24"/>
          <w:szCs w:val="24"/>
        </w:rPr>
        <w:t>外窗内外表面风压差达标分析</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_Toc25473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21</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20"/>
        <w:keepNext w:val="0"/>
        <w:keepLines w:val="0"/>
        <w:pageBreakBefore w:val="0"/>
        <w:widowControl/>
        <w:tabs>
          <w:tab w:val="right" w:leader="dot" w:pos="9070"/>
          <w:tab w:val="clear" w:pos="540"/>
          <w:tab w:val="clear" w:pos="84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_Toc27258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5.6 </w:t>
      </w:r>
      <w:r>
        <w:rPr>
          <w:rFonts w:hint="eastAsia" w:asciiTheme="majorEastAsia" w:hAnsiTheme="majorEastAsia" w:eastAsiaTheme="majorEastAsia" w:cstheme="majorEastAsia"/>
          <w:sz w:val="24"/>
          <w:szCs w:val="24"/>
        </w:rPr>
        <w:t>结论</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_Toc27258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22</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_Toc20227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5.6.1 </w:t>
      </w:r>
      <w:r>
        <w:rPr>
          <w:rFonts w:hint="eastAsia" w:asciiTheme="majorEastAsia" w:hAnsiTheme="majorEastAsia" w:eastAsiaTheme="majorEastAsia" w:cstheme="majorEastAsia"/>
          <w:sz w:val="24"/>
          <w:szCs w:val="24"/>
        </w:rPr>
        <w:t>冬季工况达标判断</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_Toc20227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22</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5"/>
        <w:keepNext w:val="0"/>
        <w:keepLines w:val="0"/>
        <w:pageBreakBefore w:val="0"/>
        <w:widowControl/>
        <w:tabs>
          <w:tab w:val="right" w:leader="dot" w:pos="9070"/>
          <w:tab w:val="clear" w:pos="900"/>
          <w:tab w:val="clear" w:pos="1260"/>
          <w:tab w:val="clear" w:pos="9360"/>
        </w:tabs>
        <w:kinsoku/>
        <w:wordWrap/>
        <w:overflowPunct/>
        <w:topLinePunct w:val="0"/>
        <w:autoSpaceDE/>
        <w:autoSpaceDN/>
        <w:bidi w:val="0"/>
        <w:adjustRightInd/>
        <w:snapToGrid/>
        <w:spacing w:line="360" w:lineRule="auto"/>
        <w:textAlignment w:val="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HYPERLINK \l _Toc26043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lang w:val="en-GB"/>
        </w:rPr>
        <w:t xml:space="preserve">5.6.2 </w:t>
      </w:r>
      <w:r>
        <w:rPr>
          <w:rFonts w:hint="eastAsia" w:asciiTheme="majorEastAsia" w:hAnsiTheme="majorEastAsia" w:eastAsiaTheme="majorEastAsia" w:cstheme="majorEastAsia"/>
          <w:sz w:val="24"/>
          <w:szCs w:val="24"/>
        </w:rPr>
        <w:t>过渡季、夏季工况达标判断</w:t>
      </w:r>
      <w:r>
        <w:rPr>
          <w:rFonts w:hint="eastAsia" w:asciiTheme="majorEastAsia" w:hAnsiTheme="majorEastAsia" w:eastAsiaTheme="majorEastAsia" w:cstheme="majorEastAsia"/>
          <w:sz w:val="24"/>
          <w:szCs w:val="24"/>
        </w:rPr>
        <w:tab/>
      </w:r>
      <w:r>
        <w:rPr>
          <w:rFonts w:hint="eastAsia" w:asciiTheme="majorEastAsia" w:hAnsiTheme="majorEastAsia" w:eastAsiaTheme="majorEastAsia" w:cstheme="majorEastAsia"/>
          <w:sz w:val="24"/>
          <w:szCs w:val="24"/>
        </w:rPr>
        <w:fldChar w:fldCharType="begin"/>
      </w:r>
      <w:r>
        <w:rPr>
          <w:rFonts w:hint="eastAsia" w:asciiTheme="majorEastAsia" w:hAnsiTheme="majorEastAsia" w:eastAsiaTheme="majorEastAsia" w:cstheme="majorEastAsia"/>
          <w:sz w:val="24"/>
          <w:szCs w:val="24"/>
        </w:rPr>
        <w:instrText xml:space="preserve"> PAGEREF _Toc26043 </w:instrText>
      </w:r>
      <w:r>
        <w:rPr>
          <w:rFonts w:hint="eastAsia" w:asciiTheme="majorEastAsia" w:hAnsiTheme="majorEastAsia" w:eastAsiaTheme="majorEastAsia" w:cstheme="majorEastAsia"/>
          <w:sz w:val="24"/>
          <w:szCs w:val="24"/>
        </w:rPr>
        <w:fldChar w:fldCharType="separate"/>
      </w:r>
      <w:r>
        <w:rPr>
          <w:rFonts w:hint="eastAsia" w:asciiTheme="majorEastAsia" w:hAnsiTheme="majorEastAsia" w:eastAsiaTheme="majorEastAsia" w:cstheme="majorEastAsia"/>
          <w:sz w:val="24"/>
          <w:szCs w:val="24"/>
        </w:rPr>
        <w:t>22</w:t>
      </w:r>
      <w:r>
        <w:rPr>
          <w:rFonts w:hint="eastAsia" w:asciiTheme="majorEastAsia" w:hAnsiTheme="majorEastAsia" w:eastAsiaTheme="majorEastAsia" w:cstheme="majorEastAsia"/>
          <w:sz w:val="24"/>
          <w:szCs w:val="24"/>
        </w:rPr>
        <w:fldChar w:fldCharType="end"/>
      </w:r>
      <w:r>
        <w:rPr>
          <w:rFonts w:hint="eastAsia" w:asciiTheme="majorEastAsia" w:hAnsiTheme="majorEastAsia" w:eastAsiaTheme="majorEastAsia" w:cstheme="majorEastAsia"/>
          <w:sz w:val="24"/>
          <w:szCs w:val="24"/>
        </w:rPr>
        <w:fldChar w:fldCharType="end"/>
      </w:r>
    </w:p>
    <w:p>
      <w:pPr>
        <w:pStyle w:val="19"/>
        <w:keepNext w:val="0"/>
        <w:keepLines w:val="0"/>
        <w:pageBreakBefore w:val="0"/>
        <w:widowControl/>
        <w:kinsoku/>
        <w:wordWrap/>
        <w:overflowPunct/>
        <w:topLinePunct w:val="0"/>
        <w:autoSpaceDE/>
        <w:autoSpaceDN/>
        <w:bidi w:val="0"/>
        <w:adjustRightInd/>
        <w:snapToGrid/>
        <w:spacing w:line="360" w:lineRule="auto"/>
        <w:textAlignment w:val="auto"/>
        <w:sectPr>
          <w:footerReference r:id="rId5" w:type="first"/>
          <w:headerReference r:id="rId3" w:type="default"/>
          <w:footerReference r:id="rId4" w:type="default"/>
          <w:pgSz w:w="11906" w:h="16838"/>
          <w:pgMar w:top="1440" w:right="1418" w:bottom="1440" w:left="1418" w:header="850" w:footer="170" w:gutter="0"/>
          <w:cols w:space="425" w:num="1"/>
          <w:titlePg/>
          <w:docGrid w:type="lines" w:linePitch="312" w:charSpace="0"/>
        </w:sectPr>
      </w:pPr>
      <w:r>
        <w:rPr>
          <w:rFonts w:hint="eastAsia" w:asciiTheme="majorEastAsia" w:hAnsiTheme="majorEastAsia" w:eastAsiaTheme="majorEastAsia" w:cstheme="majorEastAsia"/>
          <w:sz w:val="24"/>
          <w:szCs w:val="24"/>
        </w:rPr>
        <w:fldChar w:fldCharType="end"/>
      </w:r>
    </w:p>
    <w:p>
      <w:pPr>
        <w:pStyle w:val="2"/>
      </w:pPr>
      <w:bookmarkStart w:id="7" w:name="_Toc452108759"/>
      <w:bookmarkStart w:id="8" w:name="_Toc15389"/>
      <w:r>
        <w:rPr>
          <w:rFonts w:hint="eastAsia"/>
        </w:rPr>
        <w:t>项目概况</w:t>
      </w:r>
      <w:bookmarkEnd w:id="7"/>
      <w:bookmarkEnd w:id="8"/>
    </w:p>
    <w:p>
      <w:pPr>
        <w:pStyle w:val="30"/>
        <w:ind w:firstLine="480"/>
        <w:rPr>
          <w:color w:val="000000"/>
          <w:kern w:val="0"/>
          <w:sz w:val="24"/>
          <w:shd w:val="clear" w:color="auto" w:fill="FFFFFF"/>
        </w:rPr>
      </w:pPr>
      <w:bookmarkStart w:id="9" w:name="项目概况"/>
      <w:bookmarkEnd w:id="9"/>
      <w:r>
        <w:rPr>
          <w:rFonts w:hint="eastAsia"/>
        </w:rPr>
        <w:t>本项目位于</w:t>
      </w:r>
      <w:r>
        <w:rPr>
          <w:rFonts w:hint="eastAsia"/>
          <w:lang w:val="en-US" w:eastAsia="zh-CN"/>
        </w:rPr>
        <w:t>广东省汕头市澄海区</w:t>
      </w:r>
      <w:r>
        <w:rPr>
          <w:rStyle w:val="45"/>
          <w:rFonts w:hint="eastAsia"/>
          <w:sz w:val="24"/>
          <w:szCs w:val="24"/>
        </w:rPr>
        <w:t>，</w:t>
      </w:r>
      <w:r>
        <w:rPr>
          <w:rStyle w:val="45"/>
          <w:rFonts w:hint="eastAsia"/>
          <w:sz w:val="24"/>
          <w:szCs w:val="24"/>
          <w:lang w:val="en-US" w:eastAsia="zh-CN"/>
        </w:rPr>
        <w:t>项目属于学校建筑，</w:t>
      </w:r>
      <w:r>
        <w:rPr>
          <w:rStyle w:val="45"/>
          <w:rFonts w:hint="eastAsia"/>
          <w:sz w:val="24"/>
          <w:szCs w:val="24"/>
        </w:rPr>
        <w:t>项目总建筑面积</w:t>
      </w:r>
      <w:r>
        <w:rPr>
          <w:rStyle w:val="45"/>
          <w:rFonts w:hint="eastAsia"/>
          <w:sz w:val="24"/>
          <w:szCs w:val="24"/>
          <w:lang w:val="en-US" w:eastAsia="zh-CN"/>
        </w:rPr>
        <w:t>2248.55</w:t>
      </w:r>
      <w:r>
        <w:rPr>
          <w:rStyle w:val="45"/>
          <w:rFonts w:hint="eastAsia"/>
          <w:sz w:val="24"/>
          <w:szCs w:val="24"/>
        </w:rPr>
        <w:t>㎡，</w:t>
      </w:r>
      <w:r>
        <w:rPr>
          <w:rStyle w:val="45"/>
          <w:rFonts w:hint="eastAsia" w:eastAsia="宋体"/>
          <w:sz w:val="24"/>
          <w:szCs w:val="24"/>
          <w:lang w:eastAsia="zh-CN"/>
        </w:rPr>
        <w:t>规划总用地面积</w:t>
      </w:r>
      <w:r>
        <w:rPr>
          <w:rStyle w:val="45"/>
          <w:rFonts w:hint="eastAsia"/>
          <w:sz w:val="24"/>
          <w:szCs w:val="24"/>
          <w:lang w:val="en-US" w:eastAsia="zh-CN"/>
        </w:rPr>
        <w:t>11364.70</w:t>
      </w:r>
      <w:r>
        <w:rPr>
          <w:rStyle w:val="45"/>
          <w:rFonts w:hint="eastAsia"/>
          <w:sz w:val="24"/>
          <w:szCs w:val="24"/>
        </w:rPr>
        <w:t>㎡</w:t>
      </w:r>
      <w:r>
        <w:rPr>
          <w:rStyle w:val="45"/>
          <w:rFonts w:hint="eastAsia" w:eastAsia="宋体"/>
          <w:sz w:val="24"/>
          <w:szCs w:val="24"/>
          <w:lang w:eastAsia="zh-CN"/>
        </w:rPr>
        <w:t>，</w:t>
      </w:r>
      <w:r>
        <w:rPr>
          <w:rStyle w:val="45"/>
          <w:rFonts w:hint="eastAsia" w:eastAsia="宋体"/>
          <w:sz w:val="24"/>
          <w:szCs w:val="24"/>
          <w:lang w:val="en-US" w:eastAsia="zh-CN"/>
        </w:rPr>
        <w:t>地上</w:t>
      </w:r>
      <w:r>
        <w:rPr>
          <w:rStyle w:val="45"/>
          <w:rFonts w:hint="eastAsia"/>
          <w:sz w:val="24"/>
          <w:szCs w:val="24"/>
          <w:lang w:val="en-US" w:eastAsia="zh-CN"/>
        </w:rPr>
        <w:t>3</w:t>
      </w:r>
      <w:r>
        <w:rPr>
          <w:rStyle w:val="45"/>
          <w:rFonts w:hint="eastAsia" w:eastAsia="宋体"/>
          <w:sz w:val="24"/>
          <w:szCs w:val="24"/>
          <w:lang w:val="en-US" w:eastAsia="zh-CN"/>
        </w:rPr>
        <w:t>层</w:t>
      </w:r>
      <w:r>
        <w:rPr>
          <w:rStyle w:val="45"/>
          <w:rFonts w:hint="eastAsia"/>
          <w:sz w:val="24"/>
          <w:szCs w:val="24"/>
          <w:lang w:val="en-US" w:eastAsia="zh-CN"/>
        </w:rPr>
        <w:t>，建筑高度为13.15m</w:t>
      </w:r>
      <w:r>
        <w:rPr>
          <w:rStyle w:val="45"/>
          <w:rFonts w:hint="eastAsia" w:eastAsia="宋体"/>
          <w:sz w:val="24"/>
          <w:szCs w:val="24"/>
          <w:lang w:val="en-US" w:eastAsia="zh-CN"/>
        </w:rPr>
        <w:t>。</w:t>
      </w:r>
    </w:p>
    <w:p>
      <w:pPr>
        <w:jc w:val="center"/>
        <w:rPr>
          <w:szCs w:val="21"/>
        </w:rPr>
      </w:pPr>
      <w:r>
        <w:drawing>
          <wp:inline distT="0" distB="0" distL="114300" distR="114300">
            <wp:extent cx="5272405" cy="4652645"/>
            <wp:effectExtent l="9525" t="9525" r="13970" b="241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72405" cy="4652645"/>
                    </a:xfrm>
                    <a:prstGeom prst="rect">
                      <a:avLst/>
                    </a:prstGeom>
                    <a:noFill/>
                    <a:ln w="9525" cap="flat" cmpd="sng">
                      <a:solidFill>
                        <a:srgbClr val="0000FF"/>
                      </a:solidFill>
                      <a:prstDash val="solid"/>
                      <a:round/>
                      <a:headEnd type="none" w="med" len="med"/>
                      <a:tailEnd type="none" w="med" len="me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0" w:after="0" w:line="360" w:lineRule="auto"/>
        <w:ind w:right="0" w:rightChars="0"/>
        <w:jc w:val="center"/>
        <w:textAlignment w:val="auto"/>
        <w:outlineLvl w:val="9"/>
        <w:rPr>
          <w:rFonts w:hint="eastAsia" w:ascii="宋体" w:hAnsi="宋体" w:eastAsia="宋体" w:cs="宋体"/>
          <w:sz w:val="24"/>
          <w:lang w:val="en-US" w:eastAsia="zh-CN"/>
        </w:rPr>
      </w:pPr>
      <w:r>
        <w:rPr>
          <w:szCs w:val="21"/>
        </w:rPr>
        <w:t>图</w:t>
      </w:r>
      <w:r>
        <w:rPr>
          <w:rFonts w:hint="eastAsia"/>
          <w:szCs w:val="21"/>
          <w:lang w:val="en-US" w:eastAsia="zh-CN"/>
        </w:rPr>
        <w:t>1</w:t>
      </w:r>
      <w:r>
        <w:rPr>
          <w:szCs w:val="21"/>
        </w:rPr>
        <w:t xml:space="preserve"> 项目总平面</w:t>
      </w:r>
    </w:p>
    <w:p>
      <w:pPr>
        <w:pStyle w:val="3"/>
        <w:ind w:firstLine="420"/>
        <w:rPr>
          <w:lang w:val="en-US"/>
        </w:rPr>
      </w:pPr>
    </w:p>
    <w:p>
      <w:pPr>
        <w:pStyle w:val="3"/>
        <w:ind w:firstLine="420"/>
        <w:rPr>
          <w:lang w:val="en-US"/>
        </w:rPr>
      </w:pPr>
    </w:p>
    <w:p>
      <w:pPr>
        <w:pStyle w:val="3"/>
        <w:ind w:firstLine="420"/>
        <w:rPr>
          <w:lang w:val="en-US"/>
        </w:rPr>
      </w:pPr>
    </w:p>
    <w:p>
      <w:pPr>
        <w:pStyle w:val="3"/>
        <w:ind w:firstLine="420"/>
        <w:rPr>
          <w:lang w:val="en-US"/>
        </w:rPr>
        <w:sectPr>
          <w:pgSz w:w="11906" w:h="16838"/>
          <w:pgMar w:top="822" w:right="1134" w:bottom="992" w:left="709" w:header="283" w:footer="170" w:gutter="0"/>
          <w:cols w:space="720" w:num="1"/>
          <w:docGrid w:type="linesAndChars" w:linePitch="312" w:charSpace="0"/>
        </w:sectPr>
      </w:pPr>
    </w:p>
    <w:p>
      <w:pPr>
        <w:pStyle w:val="4"/>
      </w:pPr>
      <w:bookmarkStart w:id="10" w:name="_Toc452108760"/>
      <w:bookmarkStart w:id="11" w:name="_Toc30604"/>
      <w:r>
        <w:rPr>
          <w:rFonts w:hint="eastAsia"/>
        </w:rPr>
        <w:t>总</w:t>
      </w:r>
      <w:r>
        <w:t>平面图</w:t>
      </w:r>
      <w:bookmarkEnd w:id="10"/>
      <w:bookmarkEnd w:id="11"/>
    </w:p>
    <w:tbl>
      <w:tblPr>
        <w:tblStyle w:val="22"/>
        <w:tblW w:w="595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992"/>
        <w:gridCol w:w="993"/>
        <w:gridCol w:w="992"/>
        <w:gridCol w:w="992"/>
        <w:gridCol w:w="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tcBorders>
              <w:top w:val="single" w:color="auto" w:sz="4" w:space="0"/>
              <w:left w:val="single" w:color="auto" w:sz="4" w:space="0"/>
              <w:bottom w:val="single" w:color="auto" w:sz="4" w:space="0"/>
              <w:right w:val="single" w:color="auto" w:sz="4" w:space="0"/>
            </w:tcBorders>
            <w:shd w:val="clear" w:color="auto" w:fill="4040E7"/>
          </w:tcPr>
          <w:p>
            <w:pPr>
              <w:pStyle w:val="3"/>
              <w:spacing w:line="400" w:lineRule="exact"/>
              <w:ind w:firstLine="0" w:firstLineChars="0"/>
              <w:rPr>
                <w:lang w:val="en-US"/>
              </w:rPr>
            </w:pPr>
            <w:bookmarkStart w:id="12" w:name="总平面图图例表"/>
          </w:p>
        </w:tc>
        <w:tc>
          <w:tcPr>
            <w:tcW w:w="992" w:type="dxa"/>
            <w:tcBorders>
              <w:top w:val="single" w:color="auto" w:sz="4" w:space="0"/>
              <w:left w:val="single" w:color="auto" w:sz="4" w:space="0"/>
              <w:bottom w:val="single" w:color="auto" w:sz="4" w:space="0"/>
              <w:right w:val="single" w:color="auto" w:sz="4" w:space="0"/>
            </w:tcBorders>
          </w:tcPr>
          <w:p>
            <w:pPr>
              <w:pStyle w:val="3"/>
              <w:spacing w:line="400" w:lineRule="exact"/>
              <w:ind w:firstLine="0" w:firstLineChars="0"/>
              <w:rPr>
                <w:lang w:val="en-US"/>
              </w:rPr>
            </w:pPr>
            <w:r>
              <w:rPr>
                <w:rFonts w:hint="eastAsia"/>
                <w:lang w:val="en-US"/>
              </w:rPr>
              <w:t>广场</w:t>
            </w:r>
          </w:p>
        </w:tc>
        <w:tc>
          <w:tcPr>
            <w:tcW w:w="993" w:type="dxa"/>
            <w:tcBorders>
              <w:top w:val="single" w:color="auto" w:sz="4" w:space="0"/>
              <w:left w:val="single" w:color="auto" w:sz="4" w:space="0"/>
              <w:bottom w:val="single" w:color="auto" w:sz="4" w:space="0"/>
              <w:right w:val="single" w:color="auto" w:sz="4" w:space="0"/>
            </w:tcBorders>
            <w:shd w:val="clear" w:color="auto" w:fill="40B1AF"/>
          </w:tcPr>
          <w:p>
            <w:pPr>
              <w:pStyle w:val="3"/>
              <w:spacing w:line="400" w:lineRule="exact"/>
              <w:ind w:firstLine="0" w:firstLineChars="0"/>
              <w:rPr>
                <w:lang w:val="en-US"/>
              </w:rPr>
            </w:pPr>
          </w:p>
        </w:tc>
        <w:tc>
          <w:tcPr>
            <w:tcW w:w="992" w:type="dxa"/>
            <w:tcBorders>
              <w:top w:val="single" w:color="auto" w:sz="4" w:space="0"/>
              <w:left w:val="single" w:color="auto" w:sz="4" w:space="0"/>
              <w:bottom w:val="single" w:color="auto" w:sz="4" w:space="0"/>
              <w:right w:val="single" w:color="auto" w:sz="4" w:space="0"/>
            </w:tcBorders>
          </w:tcPr>
          <w:p>
            <w:pPr>
              <w:pStyle w:val="3"/>
              <w:spacing w:line="400" w:lineRule="exact"/>
              <w:ind w:firstLine="0" w:firstLineChars="0"/>
              <w:rPr>
                <w:lang w:val="en-US"/>
              </w:rPr>
            </w:pPr>
            <w:r>
              <w:rPr>
                <w:rFonts w:hint="eastAsia"/>
                <w:lang w:val="en-US"/>
              </w:rPr>
              <w:t>游憩场</w:t>
            </w:r>
          </w:p>
        </w:tc>
        <w:tc>
          <w:tcPr>
            <w:tcW w:w="992" w:type="dxa"/>
            <w:tcBorders>
              <w:top w:val="single" w:color="auto" w:sz="4" w:space="0"/>
              <w:left w:val="single" w:color="auto" w:sz="4" w:space="0"/>
              <w:bottom w:val="single" w:color="auto" w:sz="4" w:space="0"/>
              <w:right w:val="single" w:color="auto" w:sz="4" w:space="0"/>
            </w:tcBorders>
            <w:shd w:val="clear" w:color="auto" w:fill="E6AEFF"/>
          </w:tcPr>
          <w:p>
            <w:pPr>
              <w:pStyle w:val="3"/>
              <w:spacing w:line="400" w:lineRule="exact"/>
              <w:ind w:firstLine="0" w:firstLineChars="0"/>
              <w:rPr>
                <w:lang w:val="en-US"/>
              </w:rPr>
            </w:pPr>
          </w:p>
        </w:tc>
        <w:tc>
          <w:tcPr>
            <w:tcW w:w="993" w:type="dxa"/>
            <w:tcBorders>
              <w:top w:val="single" w:color="auto" w:sz="4" w:space="0"/>
              <w:left w:val="single" w:color="auto" w:sz="4" w:space="0"/>
              <w:bottom w:val="single" w:color="auto" w:sz="4" w:space="0"/>
              <w:right w:val="single" w:color="auto" w:sz="4" w:space="0"/>
            </w:tcBorders>
          </w:tcPr>
          <w:p>
            <w:pPr>
              <w:pStyle w:val="3"/>
              <w:spacing w:line="400" w:lineRule="exact"/>
              <w:ind w:firstLine="0" w:firstLineChars="0"/>
              <w:rPr>
                <w:lang w:val="en-US"/>
              </w:rPr>
            </w:pPr>
            <w:r>
              <w:rPr>
                <w:rFonts w:hint="eastAsia"/>
                <w:lang w:val="en-US"/>
              </w:rPr>
              <w:t>停车场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92" w:type="dxa"/>
            <w:tcBorders>
              <w:top w:val="single" w:color="auto" w:sz="4" w:space="0"/>
              <w:left w:val="single" w:color="auto" w:sz="4" w:space="0"/>
              <w:bottom w:val="single" w:color="auto" w:sz="4" w:space="0"/>
              <w:right w:val="single" w:color="auto" w:sz="4" w:space="0"/>
            </w:tcBorders>
            <w:shd w:val="clear" w:color="auto" w:fill="FFFF40"/>
          </w:tcPr>
          <w:p>
            <w:pPr>
              <w:pStyle w:val="3"/>
              <w:spacing w:line="400" w:lineRule="exact"/>
              <w:ind w:firstLine="0" w:firstLineChars="0"/>
              <w:rPr>
                <w:lang w:val="en-US"/>
              </w:rPr>
            </w:pPr>
          </w:p>
        </w:tc>
        <w:tc>
          <w:tcPr>
            <w:tcW w:w="992" w:type="dxa"/>
            <w:tcBorders>
              <w:top w:val="single" w:color="auto" w:sz="4" w:space="0"/>
              <w:left w:val="single" w:color="auto" w:sz="4" w:space="0"/>
              <w:bottom w:val="single" w:color="auto" w:sz="4" w:space="0"/>
              <w:right w:val="single" w:color="auto" w:sz="4" w:space="0"/>
            </w:tcBorders>
          </w:tcPr>
          <w:p>
            <w:pPr>
              <w:pStyle w:val="3"/>
              <w:spacing w:line="400" w:lineRule="exact"/>
              <w:ind w:firstLine="0" w:firstLineChars="0"/>
              <w:rPr>
                <w:lang w:val="en-US"/>
              </w:rPr>
            </w:pPr>
            <w:r>
              <w:rPr>
                <w:rFonts w:hint="eastAsia"/>
                <w:lang w:val="en-US"/>
              </w:rPr>
              <w:t>人行道</w:t>
            </w:r>
          </w:p>
        </w:tc>
        <w:tc>
          <w:tcPr>
            <w:tcW w:w="993" w:type="dxa"/>
            <w:tcBorders>
              <w:top w:val="single" w:color="auto" w:sz="4" w:space="0"/>
              <w:left w:val="single" w:color="auto" w:sz="4" w:space="0"/>
              <w:bottom w:val="single" w:color="auto" w:sz="4" w:space="0"/>
              <w:right w:val="single" w:color="auto" w:sz="4" w:space="0"/>
            </w:tcBorders>
            <w:shd w:val="clear" w:color="auto" w:fill="AECAFF"/>
          </w:tcPr>
          <w:p>
            <w:pPr>
              <w:pStyle w:val="3"/>
              <w:spacing w:line="400" w:lineRule="exact"/>
              <w:ind w:firstLine="0" w:firstLineChars="0"/>
              <w:rPr>
                <w:lang w:val="en-US"/>
              </w:rPr>
            </w:pPr>
          </w:p>
        </w:tc>
        <w:tc>
          <w:tcPr>
            <w:tcW w:w="992" w:type="dxa"/>
            <w:tcBorders>
              <w:top w:val="single" w:color="auto" w:sz="4" w:space="0"/>
              <w:left w:val="single" w:color="auto" w:sz="4" w:space="0"/>
              <w:bottom w:val="single" w:color="auto" w:sz="4" w:space="0"/>
              <w:right w:val="single" w:color="auto" w:sz="4" w:space="0"/>
            </w:tcBorders>
          </w:tcPr>
          <w:p>
            <w:pPr>
              <w:pStyle w:val="3"/>
              <w:spacing w:line="400" w:lineRule="exact"/>
              <w:ind w:firstLine="0" w:firstLineChars="0"/>
              <w:rPr>
                <w:lang w:val="en-US"/>
              </w:rPr>
            </w:pPr>
            <w:r>
              <w:rPr>
                <w:rFonts w:hint="eastAsia"/>
                <w:lang w:val="en-US"/>
              </w:rPr>
              <w:t>庭院</w:t>
            </w:r>
          </w:p>
        </w:tc>
        <w:tc>
          <w:tcPr>
            <w:tcW w:w="992" w:type="dxa"/>
            <w:tcBorders>
              <w:top w:val="single" w:color="auto" w:sz="4" w:space="0"/>
              <w:left w:val="single" w:color="auto" w:sz="4" w:space="0"/>
              <w:bottom w:val="single" w:color="auto" w:sz="4" w:space="0"/>
              <w:right w:val="single" w:color="auto" w:sz="4" w:space="0"/>
            </w:tcBorders>
            <w:shd w:val="clear" w:color="auto" w:fill="C6C5C3"/>
          </w:tcPr>
          <w:p>
            <w:pPr>
              <w:pStyle w:val="3"/>
              <w:spacing w:line="400" w:lineRule="exact"/>
              <w:ind w:firstLine="0" w:firstLineChars="0"/>
              <w:rPr>
                <w:lang w:val="en-US"/>
              </w:rPr>
            </w:pPr>
          </w:p>
        </w:tc>
        <w:tc>
          <w:tcPr>
            <w:tcW w:w="993" w:type="dxa"/>
            <w:tcBorders>
              <w:top w:val="single" w:color="auto" w:sz="4" w:space="0"/>
              <w:left w:val="single" w:color="auto" w:sz="4" w:space="0"/>
              <w:bottom w:val="single" w:color="auto" w:sz="4" w:space="0"/>
              <w:right w:val="single" w:color="auto" w:sz="4" w:space="0"/>
            </w:tcBorders>
          </w:tcPr>
          <w:p>
            <w:pPr>
              <w:pStyle w:val="3"/>
              <w:spacing w:line="400" w:lineRule="exact"/>
              <w:ind w:firstLine="0" w:firstLineChars="0"/>
              <w:rPr>
                <w:lang w:val="en-US"/>
              </w:rPr>
            </w:pPr>
            <w:r>
              <w:rPr>
                <w:rFonts w:hint="eastAsia"/>
                <w:lang w:val="en-US"/>
              </w:rPr>
              <w:t>建筑</w:t>
            </w:r>
          </w:p>
        </w:tc>
      </w:tr>
      <w:bookmarkEnd w:id="12"/>
    </w:tbl>
    <w:p>
      <w:pPr>
        <w:pStyle w:val="3"/>
        <w:ind w:firstLine="0" w:firstLineChars="0"/>
        <w:jc w:val="center"/>
        <w:rPr>
          <w:lang w:val="en-US"/>
        </w:rPr>
      </w:pPr>
      <w:bookmarkStart w:id="13" w:name="总平面图"/>
      <w:bookmarkEnd w:id="13"/>
    </w:p>
    <w:p>
      <w:pPr>
        <w:pStyle w:val="3"/>
        <w:ind w:firstLine="0" w:firstLineChars="0"/>
        <w:jc w:val="center"/>
        <w:rPr>
          <w:lang w:val="en-US"/>
        </w:rPr>
      </w:pPr>
      <w:r>
        <w:drawing>
          <wp:inline distT="0" distB="0" distL="0" distR="0">
            <wp:extent cx="5274310" cy="3818255"/>
            <wp:effectExtent l="0" t="0" r="2540" b="1079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9"/>
                    <a:stretch>
                      <a:fillRect/>
                    </a:stretch>
                  </pic:blipFill>
                  <pic:spPr>
                    <a:xfrm>
                      <a:off x="0" y="0"/>
                      <a:ext cx="5274310" cy="3818255"/>
                    </a:xfrm>
                    <a:prstGeom prst="rect">
                      <a:avLst/>
                    </a:prstGeom>
                  </pic:spPr>
                </pic:pic>
              </a:graphicData>
            </a:graphic>
          </wp:inline>
        </w:drawing>
      </w:r>
    </w:p>
    <w:p>
      <w:pPr>
        <w:pStyle w:val="13"/>
        <w:jc w:val="center"/>
        <w:rPr>
          <w:lang w:val="en-US"/>
        </w:rPr>
      </w:pPr>
      <w:r>
        <w:rPr>
          <w:rFonts w:hint="eastAsia" w:ascii="黑体" w:hAnsi="黑体"/>
        </w:rPr>
        <w:t xml:space="preserve">图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1.1</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图 \* ARABIC \s 2</w:instrText>
      </w:r>
      <w:r>
        <w:rPr>
          <w:rFonts w:ascii="黑体" w:hAnsi="黑体"/>
        </w:rPr>
        <w:instrText xml:space="preserve"> </w:instrText>
      </w:r>
      <w:r>
        <w:rPr>
          <w:rFonts w:ascii="黑体" w:hAnsi="黑体"/>
        </w:rPr>
        <w:fldChar w:fldCharType="separate"/>
      </w:r>
      <w:r>
        <w:rPr>
          <w:rFonts w:ascii="黑体" w:hAnsi="黑体"/>
        </w:rPr>
        <w:t>1</w:t>
      </w:r>
      <w:r>
        <w:rPr>
          <w:rFonts w:ascii="黑体" w:hAnsi="黑体"/>
        </w:rPr>
        <w:fldChar w:fldCharType="end"/>
      </w:r>
      <w:r>
        <w:rPr>
          <w:rFonts w:hint="eastAsia" w:ascii="黑体" w:hAnsi="黑体"/>
        </w:rPr>
        <w:t xml:space="preserve">  总平</w:t>
      </w:r>
      <w:r>
        <w:rPr>
          <w:rFonts w:hint="eastAsia"/>
        </w:rPr>
        <w:t>面图</w:t>
      </w:r>
    </w:p>
    <w:p>
      <w:pPr>
        <w:pStyle w:val="3"/>
        <w:ind w:firstLine="420"/>
        <w:rPr>
          <w:lang w:val="en-US"/>
        </w:rPr>
        <w:sectPr>
          <w:pgSz w:w="11906" w:h="16838"/>
          <w:pgMar w:top="992" w:right="709" w:bottom="822" w:left="1134" w:header="284" w:footer="170" w:gutter="0"/>
          <w:cols w:space="720" w:num="1"/>
          <w:docGrid w:type="linesAndChars" w:linePitch="312" w:charSpace="0"/>
        </w:sectPr>
      </w:pPr>
    </w:p>
    <w:p>
      <w:pPr>
        <w:pStyle w:val="2"/>
      </w:pPr>
      <w:bookmarkStart w:id="14" w:name="TitleFormat"/>
      <w:bookmarkStart w:id="15" w:name="_Toc452108762"/>
      <w:bookmarkStart w:id="16" w:name="_Toc13453"/>
      <w:r>
        <w:rPr>
          <w:rFonts w:hint="eastAsia"/>
        </w:rPr>
        <w:t>计算</w:t>
      </w:r>
      <w:r>
        <w:t>依据</w:t>
      </w:r>
      <w:bookmarkEnd w:id="14"/>
      <w:bookmarkEnd w:id="15"/>
      <w:bookmarkEnd w:id="16"/>
    </w:p>
    <w:p>
      <w:pPr>
        <w:pStyle w:val="3"/>
        <w:ind w:firstLine="420"/>
        <w:rPr>
          <w:lang w:val="en-US"/>
        </w:rPr>
      </w:pPr>
      <w:r>
        <w:rPr>
          <w:rFonts w:hint="eastAsia"/>
          <w:lang w:val="en-US"/>
        </w:rPr>
        <w:t>本项目主要参照资料为：</w:t>
      </w:r>
    </w:p>
    <w:p>
      <w:pPr>
        <w:pStyle w:val="3"/>
        <w:numPr>
          <w:ilvl w:val="0"/>
          <w:numId w:val="2"/>
        </w:numPr>
        <w:ind w:firstLineChars="0"/>
        <w:rPr>
          <w:lang w:val="en-US"/>
        </w:rPr>
      </w:pPr>
      <w:r>
        <w:rPr>
          <w:rFonts w:hint="eastAsia"/>
          <w:lang w:val="en-US"/>
        </w:rPr>
        <w:t>《绿色建筑评价标准》GB/T 50378—2014</w:t>
      </w:r>
    </w:p>
    <w:p>
      <w:pPr>
        <w:pStyle w:val="3"/>
        <w:numPr>
          <w:ilvl w:val="0"/>
          <w:numId w:val="2"/>
        </w:numPr>
        <w:ind w:firstLineChars="0"/>
        <w:rPr>
          <w:lang w:val="en-US"/>
        </w:rPr>
      </w:pPr>
      <w:r>
        <w:rPr>
          <w:rFonts w:hint="eastAsia"/>
          <w:lang w:val="en-US"/>
        </w:rPr>
        <w:t>《建筑通风效果测试与评价标准》JGJ/T 309—2013</w:t>
      </w:r>
    </w:p>
    <w:p>
      <w:pPr>
        <w:pStyle w:val="3"/>
        <w:numPr>
          <w:ilvl w:val="0"/>
          <w:numId w:val="2"/>
        </w:numPr>
        <w:ind w:firstLineChars="0"/>
        <w:rPr>
          <w:lang w:val="en-US"/>
        </w:rPr>
      </w:pPr>
      <w:r>
        <w:rPr>
          <w:rFonts w:hint="eastAsia"/>
          <w:lang w:val="en-US"/>
        </w:rPr>
        <w:t>《绿色建筑评价技术细则》</w:t>
      </w:r>
    </w:p>
    <w:p>
      <w:pPr>
        <w:pStyle w:val="3"/>
        <w:numPr>
          <w:ilvl w:val="0"/>
          <w:numId w:val="2"/>
        </w:numPr>
        <w:ind w:firstLineChars="0"/>
        <w:rPr>
          <w:lang w:val="en-US"/>
        </w:rPr>
      </w:pPr>
      <w:r>
        <w:rPr>
          <w:rFonts w:hint="eastAsia"/>
          <w:lang w:val="en-US"/>
        </w:rPr>
        <w:t>委托方提供的总平面图、建筑专业设计图纸、设计效果图等图纸资料</w:t>
      </w:r>
    </w:p>
    <w:p>
      <w:pPr>
        <w:pStyle w:val="2"/>
      </w:pPr>
      <w:bookmarkStart w:id="17" w:name="_Toc452108763"/>
      <w:bookmarkStart w:id="18" w:name="_Toc23185"/>
      <w:r>
        <w:rPr>
          <w:rFonts w:hint="eastAsia"/>
        </w:rPr>
        <w:t>参考</w:t>
      </w:r>
      <w:r>
        <w:t>标准</w:t>
      </w:r>
      <w:bookmarkEnd w:id="17"/>
      <w:bookmarkEnd w:id="18"/>
    </w:p>
    <w:p>
      <w:pPr>
        <w:pStyle w:val="3"/>
        <w:ind w:firstLine="420"/>
        <w:rPr>
          <w:lang w:val="en-US"/>
        </w:rPr>
      </w:pPr>
      <w:r>
        <w:rPr>
          <w:rFonts w:hint="eastAsia"/>
          <w:lang w:val="en-US"/>
        </w:rPr>
        <w:t>室外风环境评价依据为《绿色建筑评价标准》（GB/T 50378-2014）中有关室外风环境的条目要求。具体要求如下：</w:t>
      </w:r>
    </w:p>
    <w:p>
      <w:pPr>
        <w:pStyle w:val="3"/>
        <w:ind w:firstLine="420"/>
        <w:rPr>
          <w:lang w:val="en-US"/>
        </w:rPr>
      </w:pPr>
      <w:bookmarkStart w:id="19" w:name="_Toc451698935"/>
      <w:bookmarkStart w:id="20" w:name="_Toc452108764"/>
      <w:bookmarkStart w:id="21" w:name="_Toc451436145"/>
      <w:r>
        <w:rPr>
          <w:rFonts w:hint="eastAsia"/>
          <w:lang w:val="en-US"/>
        </w:rPr>
        <w:t>4.2.6 场地内风环境有利于室外行走、活动舒适和建筑的自然通风。评分规则如下：</w:t>
      </w:r>
    </w:p>
    <w:p>
      <w:pPr>
        <w:pStyle w:val="3"/>
        <w:ind w:firstLine="420"/>
        <w:rPr>
          <w:lang w:val="en-US"/>
        </w:rPr>
      </w:pPr>
      <w:r>
        <w:rPr>
          <w:rFonts w:hint="eastAsia"/>
          <w:lang w:val="en-US"/>
        </w:rPr>
        <w:t>1  冬季典型风速和风向条件下，建筑物周围人行区风速低于5m/s，且室外风速放大系数小于2，得2分；除迎风第一排建筑外，建筑迎风面与背风面表面风压差不超过5Pa，得1分。</w:t>
      </w:r>
    </w:p>
    <w:p>
      <w:pPr>
        <w:pStyle w:val="3"/>
        <w:ind w:firstLine="420"/>
        <w:rPr>
          <w:lang w:val="en-US"/>
        </w:rPr>
      </w:pPr>
      <w:r>
        <w:rPr>
          <w:rFonts w:hint="eastAsia"/>
          <w:lang w:val="en-US"/>
        </w:rPr>
        <w:t>2  过渡季、夏季典型风速和风向条件下，场地内人活动区不出现涡旋或无风区，得2分；50%以上可开启外窗室内外表面的风压差大于0.5Pa，得1分。</w:t>
      </w:r>
    </w:p>
    <w:p>
      <w:pPr>
        <w:pStyle w:val="2"/>
      </w:pPr>
      <w:bookmarkStart w:id="22" w:name="_Toc4258"/>
      <w:r>
        <w:rPr>
          <w:rFonts w:hint="eastAsia"/>
        </w:rPr>
        <w:t>计算原理</w:t>
      </w:r>
      <w:bookmarkEnd w:id="19"/>
      <w:bookmarkEnd w:id="20"/>
      <w:bookmarkEnd w:id="22"/>
    </w:p>
    <w:p>
      <w:pPr>
        <w:pStyle w:val="4"/>
        <w:numPr>
          <w:ilvl w:val="1"/>
          <w:numId w:val="3"/>
        </w:numPr>
      </w:pPr>
      <w:bookmarkStart w:id="23" w:name="_Toc509844740"/>
      <w:bookmarkStart w:id="24" w:name="_Toc30854"/>
      <w:bookmarkStart w:id="25" w:name="_Toc451698937"/>
      <w:bookmarkStart w:id="26" w:name="_Toc452108765"/>
      <w:r>
        <w:rPr>
          <w:rFonts w:hint="eastAsia"/>
        </w:rPr>
        <w:t>风场计算域</w:t>
      </w:r>
      <w:bookmarkEnd w:id="23"/>
      <w:bookmarkEnd w:id="24"/>
    </w:p>
    <w:p>
      <w:pPr>
        <w:pStyle w:val="3"/>
        <w:ind w:firstLine="420"/>
        <w:rPr>
          <w:rFonts w:hint="eastAsia" w:eastAsia="宋体"/>
          <w:lang w:val="en-US" w:eastAsia="zh-CN"/>
        </w:rPr>
      </w:pPr>
      <w:r>
        <w:rPr>
          <w:rFonts w:hint="eastAsia"/>
          <w:lang w:val="en-US"/>
        </w:rPr>
        <w:t>进行室外风场计算前，需要确定参与计算风场的大小，在流体力学中称为计算域，通常为一个包围建筑群的长方体或正方体</w:t>
      </w:r>
      <w:r>
        <w:rPr>
          <w:rFonts w:hint="eastAsia"/>
          <w:lang w:val="en-US" w:eastAsia="zh-CN"/>
        </w:rPr>
        <w:t>。</w:t>
      </w:r>
    </w:p>
    <w:p>
      <w:pPr>
        <w:pStyle w:val="4"/>
      </w:pPr>
      <w:bookmarkStart w:id="27" w:name="_Toc509844741"/>
      <w:bookmarkStart w:id="28" w:name="_Toc23367"/>
      <w:r>
        <w:rPr>
          <w:rFonts w:hint="eastAsia"/>
        </w:rPr>
        <w:t>网格划分</w:t>
      </w:r>
      <w:bookmarkEnd w:id="27"/>
      <w:bookmarkEnd w:id="28"/>
    </w:p>
    <w:p>
      <w:pPr>
        <w:pStyle w:val="3"/>
        <w:ind w:left="-141" w:leftChars="-67" w:firstLine="420"/>
        <w:rPr>
          <w:lang w:val="en-US"/>
        </w:rPr>
      </w:pPr>
      <w:r>
        <w:rPr>
          <w:rFonts w:hint="eastAsia"/>
          <w:lang w:val="en-US"/>
        </w:rPr>
        <w:t>网格划分决定着计算的精确程度并影响计算速度，网格太密会导致计算速度下降并浪费计算资源；网格太疏导致计算精度不足结果不够准确，合理的网格方案需要考虑对计算域中不同的部分采用不同的网格方案。建筑周围，远离建筑的区域，建筑物轮廓有明显的局部特征（如尖角，凹槽，凸起等细微的外装饰），贴近地面的区域，都需要采用不同的网格方案。下面为本项目所采用的加密方案：</w:t>
      </w:r>
    </w:p>
    <w:p>
      <w:pPr>
        <w:pStyle w:val="12"/>
        <w:spacing w:before="156"/>
        <w:ind w:left="426" w:firstLine="0"/>
      </w:pPr>
      <w:bookmarkStart w:id="29" w:name="OLE_LINK277"/>
      <w:bookmarkStart w:id="30" w:name="OLE_LINK276"/>
      <w:r>
        <w:rPr>
          <w:rFonts w:hint="eastAsia"/>
        </w:rPr>
        <w:t>1）普通网格：指除靠近地面和建筑以外的网格，通常不需要特别加密处理</w:t>
      </w:r>
    </w:p>
    <w:p>
      <w:pPr>
        <w:pStyle w:val="12"/>
        <w:numPr>
          <w:ilvl w:val="0"/>
          <w:numId w:val="4"/>
        </w:numPr>
        <w:spacing w:before="156"/>
      </w:pPr>
      <w:bookmarkStart w:id="31" w:name="OLE_LINK15"/>
      <w:r>
        <w:rPr>
          <w:rFonts w:hint="eastAsia"/>
        </w:rPr>
        <w:t>分弧精度：对于有圆弧特征的建筑局部，把圆弧分解为线段时，弦到弧的最大距离；</w:t>
      </w:r>
    </w:p>
    <w:bookmarkEnd w:id="31"/>
    <w:p>
      <w:pPr>
        <w:pStyle w:val="32"/>
        <w:numPr>
          <w:ilvl w:val="0"/>
          <w:numId w:val="4"/>
        </w:numPr>
        <w:spacing w:before="156"/>
        <w:ind w:firstLineChars="0"/>
      </w:pPr>
      <w:r>
        <w:rPr>
          <w:rFonts w:hint="eastAsia"/>
        </w:rPr>
        <w:t>初始网格大小：初始化时候正交网格的大小，单位米(m)；</w:t>
      </w:r>
    </w:p>
    <w:p>
      <w:pPr>
        <w:pStyle w:val="32"/>
        <w:numPr>
          <w:ilvl w:val="0"/>
          <w:numId w:val="4"/>
        </w:numPr>
        <w:spacing w:before="156"/>
        <w:ind w:firstLineChars="0"/>
      </w:pPr>
      <w:r>
        <w:rPr>
          <w:rFonts w:hint="eastAsia"/>
        </w:rPr>
        <w:t>最小细分级数：初始网格至少细分的级数；</w:t>
      </w:r>
    </w:p>
    <w:p>
      <w:pPr>
        <w:pStyle w:val="32"/>
        <w:numPr>
          <w:ilvl w:val="0"/>
          <w:numId w:val="4"/>
        </w:numPr>
        <w:tabs>
          <w:tab w:val="left" w:pos="851"/>
        </w:tabs>
        <w:spacing w:before="156"/>
        <w:ind w:firstLineChars="0"/>
      </w:pPr>
      <w:r>
        <w:rPr>
          <w:rFonts w:hint="eastAsia"/>
        </w:rPr>
        <w:t>最大细分级数：初始网格最多细分的级数；</w:t>
      </w:r>
    </w:p>
    <w:p>
      <w:pPr>
        <w:pStyle w:val="12"/>
        <w:spacing w:before="156"/>
        <w:ind w:left="0" w:firstLine="315" w:firstLineChars="150"/>
      </w:pPr>
      <w:r>
        <w:rPr>
          <w:rFonts w:hint="eastAsia"/>
        </w:rPr>
        <w:t>2）地面网格</w:t>
      </w:r>
    </w:p>
    <w:p>
      <w:pPr>
        <w:pStyle w:val="12"/>
        <w:spacing w:before="156"/>
        <w:ind w:firstLine="315" w:firstLineChars="150"/>
      </w:pPr>
      <w:r>
        <w:rPr>
          <w:rFonts w:hint="eastAsia"/>
        </w:rPr>
        <w:t>靠近建筑物的区域称为近场，远离建筑物的区域称为远场。</w:t>
      </w:r>
    </w:p>
    <w:p>
      <w:pPr>
        <w:pStyle w:val="12"/>
        <w:spacing w:before="156"/>
        <w:ind w:firstLine="315" w:firstLineChars="150"/>
      </w:pPr>
      <w:r>
        <w:rPr>
          <w:rFonts w:hint="eastAsia"/>
        </w:rPr>
        <w:t>近场的地面网格需要加密，对应地面细分级数较大；而远场地面对应网格较疏，地面细分级数较小。</w:t>
      </w:r>
    </w:p>
    <w:p>
      <w:pPr>
        <w:pStyle w:val="12"/>
        <w:spacing w:before="156"/>
        <w:ind w:leftChars="150" w:hanging="105" w:hangingChars="50"/>
      </w:pPr>
      <w:r>
        <w:rPr>
          <w:rFonts w:hint="eastAsia"/>
        </w:rPr>
        <w:t>3）</w:t>
      </w:r>
      <w:r>
        <w:rPr>
          <w:rFonts w:hint="eastAsia"/>
          <w:b/>
        </w:rPr>
        <w:t>附面层</w:t>
      </w:r>
      <w:r>
        <w:rPr>
          <w:rFonts w:hint="eastAsia"/>
        </w:rPr>
        <w:t>网格</w:t>
      </w:r>
    </w:p>
    <w:p>
      <w:pPr>
        <w:pStyle w:val="3"/>
        <w:ind w:left="-141" w:leftChars="-67" w:firstLine="420"/>
      </w:pPr>
      <w:r>
        <w:rPr>
          <w:rFonts w:hint="eastAsia"/>
          <w:lang w:val="en-US"/>
        </w:rPr>
        <w:t>贴近地面/建筑壁面的空气流动，因为空气自身粘性而受到地面/建筑表面阻滞作用，紧贴地面/建筑壁面的空气流动速度几乎为0，且速度随着与地面/建筑壁面距离的增加而增加，使得靠近地面的一定厚度空气层的流速呈现梯度分布，最终达到主流速度，而这层空气层通常称为流动边界层或者附面层。在做计算流体力学分析时，为了获取边界层/附面层内的空气流动特征，提升分析精度，宜对其中的网格进行分层加密，形成</w:t>
      </w:r>
      <w:r>
        <w:rPr>
          <w:rFonts w:hint="eastAsia"/>
          <w:b/>
          <w:lang w:val="en-US"/>
        </w:rPr>
        <w:t>附面层网格</w:t>
      </w:r>
      <w:r>
        <w:rPr>
          <w:rFonts w:hint="eastAsia"/>
          <w:lang w:val="en-US"/>
        </w:rPr>
        <w:t>。</w:t>
      </w:r>
    </w:p>
    <w:p>
      <w:pPr>
        <w:pStyle w:val="32"/>
        <w:numPr>
          <w:ilvl w:val="0"/>
          <w:numId w:val="5"/>
        </w:numPr>
        <w:tabs>
          <w:tab w:val="left" w:pos="567"/>
        </w:tabs>
        <w:spacing w:before="156"/>
        <w:ind w:hanging="840" w:firstLineChars="0"/>
      </w:pPr>
      <w:r>
        <w:rPr>
          <w:rFonts w:hint="eastAsia"/>
        </w:rPr>
        <w:t xml:space="preserve">   地面附面层数：地面附面层网格的层数；</w:t>
      </w:r>
    </w:p>
    <w:p>
      <w:pPr>
        <w:pStyle w:val="32"/>
        <w:numPr>
          <w:ilvl w:val="0"/>
          <w:numId w:val="5"/>
        </w:numPr>
        <w:tabs>
          <w:tab w:val="left" w:pos="567"/>
        </w:tabs>
        <w:spacing w:before="156"/>
        <w:ind w:hanging="840" w:firstLineChars="0"/>
      </w:pPr>
      <w:r>
        <w:rPr>
          <w:rFonts w:hint="eastAsia"/>
        </w:rPr>
        <w:t xml:space="preserve">   建筑附面层数：建筑表面附面层网格的层数；</w:t>
      </w:r>
      <w:bookmarkEnd w:id="29"/>
      <w:bookmarkEnd w:id="30"/>
    </w:p>
    <w:p>
      <w:pPr>
        <w:pStyle w:val="12"/>
        <w:spacing w:before="156"/>
        <w:ind w:firstLine="210" w:firstLineChars="100"/>
      </w:pPr>
      <w:r>
        <w:rPr>
          <w:rFonts w:hint="eastAsia"/>
        </w:rPr>
        <w:t>以下为本项目的网格划分信息，上述网格方案对网格的控制分别体现在相应的网格参数中：</w:t>
      </w:r>
    </w:p>
    <w:p>
      <w:pPr>
        <w:pStyle w:val="13"/>
        <w:jc w:val="center"/>
      </w:pPr>
      <w:r>
        <w:rPr>
          <w:rFonts w:hint="eastAsia" w:ascii="黑体" w:hAnsi="黑体"/>
        </w:rPr>
        <w:t>表</w:t>
      </w:r>
      <w:r>
        <w:rPr>
          <w:rFonts w:ascii="黑体" w:hAnsi="黑体"/>
        </w:rPr>
        <w:t xml:space="preserve">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4.2</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SEQ 表 \* ARABIC \s 2 </w:instrText>
      </w:r>
      <w:r>
        <w:rPr>
          <w:rFonts w:ascii="黑体" w:hAnsi="黑体"/>
        </w:rPr>
        <w:fldChar w:fldCharType="separate"/>
      </w:r>
      <w:r>
        <w:rPr>
          <w:rFonts w:ascii="黑体" w:hAnsi="黑体"/>
        </w:rPr>
        <w:t>1</w:t>
      </w:r>
      <w:r>
        <w:rPr>
          <w:rFonts w:ascii="黑体" w:hAnsi="黑体"/>
        </w:rPr>
        <w:fldChar w:fldCharType="end"/>
      </w:r>
      <w:r>
        <w:rPr>
          <w:rFonts w:hint="eastAsia" w:ascii="黑体" w:hAnsi="黑体"/>
        </w:rPr>
        <w:t>冬季网</w:t>
      </w:r>
      <w:r>
        <w:rPr>
          <w:rFonts w:hint="eastAsia"/>
        </w:rPr>
        <w:t>格划分信息</w:t>
      </w:r>
    </w:p>
    <w:tbl>
      <w:tblPr>
        <w:tblStyle w:val="21"/>
        <w:tblW w:w="8242" w:type="dxa"/>
        <w:tblInd w:w="279" w:type="dxa"/>
        <w:tblLayout w:type="fixed"/>
        <w:tblCellMar>
          <w:top w:w="0" w:type="dxa"/>
          <w:left w:w="108" w:type="dxa"/>
          <w:bottom w:w="0" w:type="dxa"/>
          <w:right w:w="108" w:type="dxa"/>
        </w:tblCellMar>
      </w:tblPr>
      <w:tblGrid>
        <w:gridCol w:w="1863"/>
        <w:gridCol w:w="1701"/>
        <w:gridCol w:w="2977"/>
        <w:gridCol w:w="1701"/>
      </w:tblGrid>
      <w:tr>
        <w:tblPrEx>
          <w:tblLayout w:type="fixed"/>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r>
              <w:rPr>
                <w:rFonts w:hint="eastAsia"/>
                <w:szCs w:val="21"/>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网格尺寸</w:t>
            </w:r>
          </w:p>
        </w:tc>
      </w:tr>
      <w:tr>
        <w:tblPrEx>
          <w:tblLayout w:type="fixed"/>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right w:val="single" w:color="auto" w:sz="4" w:space="0"/>
            </w:tcBorders>
            <w:vAlign w:val="center"/>
          </w:tcPr>
          <w:p>
            <w:pPr>
              <w:spacing w:line="240" w:lineRule="auto"/>
              <w:jc w:val="center"/>
              <w:rPr>
                <w:szCs w:val="21"/>
                <w:lang w:val="en-US"/>
              </w:rPr>
            </w:pPr>
            <w:r>
              <w:t>1165726</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分弧精度(m</w:t>
            </w:r>
            <w:r>
              <w:rPr>
                <w:szCs w:val="21"/>
                <w:lang w:val="en-US"/>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0.24</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初始网格(m</w:t>
            </w:r>
            <w:r>
              <w:rPr>
                <w:szCs w:val="21"/>
                <w:lang w:val="en-US"/>
              </w:rPr>
              <w:t>)</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8.0</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最小细分级数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1</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最大细分级数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2</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远场细分级数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1</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近场细分级数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2</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附面层</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地面附面层数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2</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pPr>
              <w:spacing w:line="240" w:lineRule="auto"/>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建筑附面层数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0</w:t>
            </w:r>
          </w:p>
        </w:tc>
      </w:tr>
    </w:tbl>
    <w:p>
      <w:pPr>
        <w:rPr>
          <w:szCs w:val="21"/>
          <w:lang w:val="en-US"/>
        </w:rPr>
      </w:pPr>
    </w:p>
    <w:p>
      <w:pPr>
        <w:pStyle w:val="13"/>
        <w:jc w:val="center"/>
      </w:pPr>
      <w:r>
        <w:rPr>
          <w:rFonts w:hint="eastAsia" w:ascii="黑体" w:hAnsi="黑体"/>
        </w:rPr>
        <w:t>表</w:t>
      </w:r>
      <w:r>
        <w:rPr>
          <w:rFonts w:ascii="黑体" w:hAnsi="黑体"/>
        </w:rPr>
        <w:t xml:space="preserve">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4.2</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SEQ 表 \* ARABIC \s 2 </w:instrText>
      </w:r>
      <w:r>
        <w:rPr>
          <w:rFonts w:ascii="黑体" w:hAnsi="黑体"/>
        </w:rPr>
        <w:fldChar w:fldCharType="separate"/>
      </w:r>
      <w:r>
        <w:rPr>
          <w:rFonts w:ascii="黑体" w:hAnsi="黑体"/>
        </w:rPr>
        <w:t>2</w:t>
      </w:r>
      <w:r>
        <w:rPr>
          <w:rFonts w:ascii="黑体" w:hAnsi="黑体"/>
        </w:rPr>
        <w:fldChar w:fldCharType="end"/>
      </w:r>
      <w:r>
        <w:rPr>
          <w:rFonts w:hint="eastAsia" w:ascii="黑体" w:hAnsi="黑体"/>
        </w:rPr>
        <w:t>夏季网</w:t>
      </w:r>
      <w:r>
        <w:rPr>
          <w:rFonts w:hint="eastAsia"/>
        </w:rPr>
        <w:t>格划分信息</w:t>
      </w:r>
    </w:p>
    <w:tbl>
      <w:tblPr>
        <w:tblStyle w:val="21"/>
        <w:tblW w:w="8242" w:type="dxa"/>
        <w:tblInd w:w="279" w:type="dxa"/>
        <w:tblLayout w:type="fixed"/>
        <w:tblCellMar>
          <w:top w:w="0" w:type="dxa"/>
          <w:left w:w="108" w:type="dxa"/>
          <w:bottom w:w="0" w:type="dxa"/>
          <w:right w:w="108" w:type="dxa"/>
        </w:tblCellMar>
      </w:tblPr>
      <w:tblGrid>
        <w:gridCol w:w="1863"/>
        <w:gridCol w:w="1701"/>
        <w:gridCol w:w="2977"/>
        <w:gridCol w:w="1701"/>
      </w:tblGrid>
      <w:tr>
        <w:tblPrEx>
          <w:tblLayout w:type="fixed"/>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r>
              <w:rPr>
                <w:rFonts w:hint="eastAsia"/>
                <w:szCs w:val="21"/>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网格尺寸</w:t>
            </w:r>
          </w:p>
        </w:tc>
      </w:tr>
      <w:tr>
        <w:tblPrEx>
          <w:tblLayout w:type="fixed"/>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right w:val="single" w:color="auto" w:sz="4" w:space="0"/>
            </w:tcBorders>
            <w:vAlign w:val="center"/>
          </w:tcPr>
          <w:p>
            <w:pPr>
              <w:spacing w:line="240" w:lineRule="auto"/>
              <w:jc w:val="center"/>
              <w:rPr>
                <w:szCs w:val="21"/>
                <w:lang w:val="en-US"/>
              </w:rPr>
            </w:pPr>
            <w:r>
              <w:t>1173473</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分弧精度(m</w:t>
            </w:r>
            <w:r>
              <w:rPr>
                <w:szCs w:val="21"/>
                <w:lang w:val="en-US"/>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0.24</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初始网格(m</w:t>
            </w:r>
            <w:r>
              <w:rPr>
                <w:szCs w:val="21"/>
                <w:lang w:val="en-US"/>
              </w:rPr>
              <w:t>)</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8.0</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最小细分级数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1</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最大细分级数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2</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远场细分级数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1</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近场细分级数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2</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附面层</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地面附面层数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2</w:t>
            </w:r>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pPr>
              <w:spacing w:line="240" w:lineRule="auto"/>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建筑附面层数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r>
              <w:t>0</w:t>
            </w:r>
          </w:p>
        </w:tc>
      </w:tr>
    </w:tbl>
    <w:p>
      <w:pPr>
        <w:rPr>
          <w:szCs w:val="21"/>
          <w:lang w:val="en-US"/>
        </w:rPr>
      </w:pPr>
    </w:p>
    <w:p>
      <w:pPr>
        <w:pStyle w:val="13"/>
        <w:jc w:val="center"/>
      </w:pPr>
      <w:r>
        <w:rPr>
          <w:rFonts w:hint="eastAsia" w:ascii="黑体" w:hAnsi="黑体"/>
        </w:rPr>
        <w:t>表</w:t>
      </w:r>
      <w:r>
        <w:rPr>
          <w:rFonts w:ascii="黑体" w:hAnsi="黑体"/>
        </w:rPr>
        <w:t xml:space="preserve">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4.2</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SEQ 表 \* ARABIC \s 2 </w:instrText>
      </w:r>
      <w:r>
        <w:rPr>
          <w:rFonts w:ascii="黑体" w:hAnsi="黑体"/>
        </w:rPr>
        <w:fldChar w:fldCharType="separate"/>
      </w:r>
      <w:r>
        <w:rPr>
          <w:rFonts w:ascii="黑体" w:hAnsi="黑体"/>
        </w:rPr>
        <w:t>3</w:t>
      </w:r>
      <w:r>
        <w:rPr>
          <w:rFonts w:ascii="黑体" w:hAnsi="黑体"/>
        </w:rPr>
        <w:fldChar w:fldCharType="end"/>
      </w:r>
      <w:r>
        <w:rPr>
          <w:rFonts w:hint="eastAsia" w:ascii="黑体" w:hAnsi="黑体"/>
        </w:rPr>
        <w:t>过渡季网</w:t>
      </w:r>
      <w:r>
        <w:rPr>
          <w:rFonts w:hint="eastAsia"/>
        </w:rPr>
        <w:t>格划分信息</w:t>
      </w:r>
    </w:p>
    <w:tbl>
      <w:tblPr>
        <w:tblStyle w:val="21"/>
        <w:tblW w:w="8242" w:type="dxa"/>
        <w:tblInd w:w="279" w:type="dxa"/>
        <w:tblLayout w:type="fixed"/>
        <w:tblCellMar>
          <w:top w:w="0" w:type="dxa"/>
          <w:left w:w="108" w:type="dxa"/>
          <w:bottom w:w="0" w:type="dxa"/>
          <w:right w:w="108" w:type="dxa"/>
        </w:tblCellMar>
      </w:tblPr>
      <w:tblGrid>
        <w:gridCol w:w="1863"/>
        <w:gridCol w:w="1701"/>
        <w:gridCol w:w="2977"/>
        <w:gridCol w:w="1701"/>
      </w:tblGrid>
      <w:tr>
        <w:tblPrEx>
          <w:tblLayout w:type="fixed"/>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r>
              <w:rPr>
                <w:rFonts w:hint="eastAsia"/>
                <w:szCs w:val="21"/>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网格尺寸</w:t>
            </w:r>
          </w:p>
        </w:tc>
      </w:tr>
      <w:tr>
        <w:tblPrEx>
          <w:tblLayout w:type="fixed"/>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right w:val="single" w:color="auto" w:sz="4" w:space="0"/>
            </w:tcBorders>
            <w:vAlign w:val="center"/>
          </w:tcPr>
          <w:p>
            <w:pPr>
              <w:spacing w:line="240" w:lineRule="auto"/>
              <w:jc w:val="center"/>
              <w:rPr>
                <w:szCs w:val="21"/>
                <w:lang w:val="en-US"/>
              </w:rPr>
            </w:pPr>
            <w:bookmarkStart w:id="32" w:name="冬季网格总数"/>
            <w:r>
              <w:t>1173473</w:t>
            </w:r>
            <w:bookmarkEnd w:id="32"/>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分弧精度(m</w:t>
            </w:r>
            <w:r>
              <w:rPr>
                <w:szCs w:val="21"/>
                <w:lang w:val="en-US"/>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jc w:val="center"/>
              <w:rPr>
                <w:szCs w:val="21"/>
                <w:lang w:val="en-US"/>
              </w:rPr>
            </w:pPr>
            <w:bookmarkStart w:id="33" w:name="冬季分弧精度"/>
            <w:r>
              <w:t>0.24</w:t>
            </w:r>
            <w:bookmarkEnd w:id="33"/>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初始网格(m</w:t>
            </w:r>
            <w:r>
              <w:rPr>
                <w:szCs w:val="21"/>
                <w:lang w:val="en-US"/>
              </w:rPr>
              <w:t>)</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bookmarkStart w:id="34" w:name="冬季初始网格"/>
            <w:r>
              <w:t>8.0</w:t>
            </w:r>
            <w:bookmarkEnd w:id="34"/>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最小细分级数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bookmarkStart w:id="35" w:name="冬季最小细分级数"/>
            <w:r>
              <w:t>1</w:t>
            </w:r>
            <w:bookmarkEnd w:id="35"/>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最大细分级数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bookmarkStart w:id="36" w:name="冬季最大细分级数"/>
            <w:r>
              <w:t>2</w:t>
            </w:r>
            <w:bookmarkEnd w:id="36"/>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远场细分级数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bookmarkStart w:id="37" w:name="冬季远场细分级数"/>
            <w:r>
              <w:t>1</w:t>
            </w:r>
            <w:bookmarkEnd w:id="37"/>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近场细分级数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bookmarkStart w:id="38" w:name="冬季近场细分级数"/>
            <w:r>
              <w:t>2</w:t>
            </w:r>
            <w:bookmarkEnd w:id="38"/>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附面层</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地面附面层数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bookmarkStart w:id="39" w:name="冬季地面附面层数"/>
            <w:r>
              <w:t>2</w:t>
            </w:r>
            <w:bookmarkEnd w:id="39"/>
          </w:p>
        </w:tc>
      </w:tr>
      <w:tr>
        <w:tblPrEx>
          <w:tblLayout w:type="fixed"/>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pPr>
              <w:spacing w:line="240" w:lineRule="auto"/>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pPr>
              <w:spacing w:line="240" w:lineRule="auto"/>
              <w:jc w:val="center"/>
              <w:rPr>
                <w:szCs w:val="21"/>
                <w:lang w:val="en-US"/>
              </w:rPr>
            </w:pPr>
            <w:r>
              <w:rPr>
                <w:rFonts w:hint="eastAsia"/>
                <w:szCs w:val="21"/>
                <w:lang w:val="en-US"/>
              </w:rPr>
              <w:t>建筑附面层数</w:t>
            </w:r>
          </w:p>
        </w:tc>
        <w:tc>
          <w:tcPr>
            <w:tcW w:w="1701" w:type="dxa"/>
            <w:tcBorders>
              <w:top w:val="nil"/>
              <w:left w:val="nil"/>
              <w:bottom w:val="single" w:color="auto" w:sz="4" w:space="0"/>
              <w:right w:val="single" w:color="auto" w:sz="4" w:space="0"/>
            </w:tcBorders>
            <w:shd w:val="clear" w:color="auto" w:fill="auto"/>
            <w:noWrap/>
            <w:vAlign w:val="center"/>
          </w:tcPr>
          <w:p>
            <w:pPr>
              <w:spacing w:line="240" w:lineRule="auto"/>
              <w:jc w:val="center"/>
              <w:rPr>
                <w:szCs w:val="21"/>
                <w:lang w:val="en-US"/>
              </w:rPr>
            </w:pPr>
            <w:bookmarkStart w:id="40" w:name="冬季建筑附面层数"/>
            <w:r>
              <w:t>0</w:t>
            </w:r>
            <w:bookmarkEnd w:id="40"/>
          </w:p>
        </w:tc>
      </w:tr>
    </w:tbl>
    <w:p>
      <w:pPr>
        <w:rPr>
          <w:szCs w:val="21"/>
          <w:lang w:val="en-US"/>
        </w:rPr>
      </w:pPr>
    </w:p>
    <w:p>
      <w:pPr>
        <w:pStyle w:val="3"/>
        <w:ind w:firstLine="630" w:firstLineChars="300"/>
        <w:rPr>
          <w:rFonts w:ascii="黑体" w:hAnsi="黑体" w:eastAsia="黑体"/>
          <w:szCs w:val="20"/>
        </w:rPr>
      </w:pPr>
      <w:bookmarkStart w:id="41" w:name="网格划分信息"/>
      <w:bookmarkEnd w:id="41"/>
      <w:r>
        <w:rPr>
          <w:rFonts w:hint="eastAsia" w:ascii="黑体" w:hAnsi="黑体" w:eastAsia="黑体"/>
          <w:szCs w:val="20"/>
          <w:lang w:val="en-US"/>
        </w:rPr>
        <w:t>注：前述计算域随风向不同，所以相同的网格方案会产生不同的网格数量。</w:t>
      </w:r>
    </w:p>
    <w:p>
      <w:pPr>
        <w:pStyle w:val="4"/>
        <w:numPr>
          <w:ilvl w:val="1"/>
          <w:numId w:val="3"/>
        </w:numPr>
      </w:pPr>
      <w:bookmarkStart w:id="42" w:name="_Toc509844742"/>
      <w:bookmarkStart w:id="43" w:name="_Toc31149"/>
      <w:r>
        <w:rPr>
          <w:rFonts w:hint="eastAsia"/>
        </w:rPr>
        <w:t>边界条件</w:t>
      </w:r>
      <w:bookmarkEnd w:id="42"/>
      <w:bookmarkEnd w:id="43"/>
    </w:p>
    <w:p>
      <w:r>
        <w:rPr>
          <w:lang w:val="en-US"/>
        </w:rPr>
        <w:drawing>
          <wp:inline distT="0" distB="0" distL="0" distR="0">
            <wp:extent cx="5486400" cy="3324225"/>
            <wp:effectExtent l="0" t="0" r="0" b="9525"/>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486400" cy="3324225"/>
                    </a:xfrm>
                    <a:prstGeom prst="rect">
                      <a:avLst/>
                    </a:prstGeom>
                    <a:noFill/>
                    <a:ln>
                      <a:noFill/>
                    </a:ln>
                  </pic:spPr>
                </pic:pic>
              </a:graphicData>
            </a:graphic>
          </wp:inline>
        </w:drawing>
      </w:r>
    </w:p>
    <w:p>
      <w:pPr>
        <w:pStyle w:val="3"/>
        <w:ind w:firstLine="0" w:firstLineChars="0"/>
        <w:jc w:val="center"/>
        <w:rPr>
          <w:rFonts w:ascii="Calibri Light" w:hAnsi="Calibri Light"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4.3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风场</w:t>
      </w:r>
      <w:r>
        <w:rPr>
          <w:rFonts w:hint="eastAsia" w:ascii="Calibri Light" w:hAnsi="Calibri Light" w:eastAsia="黑体"/>
          <w:sz w:val="20"/>
          <w:szCs w:val="20"/>
        </w:rPr>
        <w:t>边界类型示意图</w:t>
      </w:r>
    </w:p>
    <w:p>
      <w:pPr>
        <w:pStyle w:val="3"/>
        <w:ind w:firstLine="405" w:firstLineChars="193"/>
      </w:pPr>
      <w:r>
        <w:rPr>
          <w:rFonts w:hint="eastAsia"/>
          <w:lang w:val="en-US"/>
        </w:rPr>
        <w:t>上图展示了计算域中风场边界的类型，本小节将给出不同边界的边界条件。</w:t>
      </w:r>
    </w:p>
    <w:p>
      <w:pPr>
        <w:pStyle w:val="5"/>
      </w:pPr>
      <w:bookmarkStart w:id="44" w:name="_Toc509844743"/>
      <w:bookmarkStart w:id="45" w:name="_Toc18605"/>
      <w:r>
        <w:rPr>
          <w:rFonts w:hint="eastAsia"/>
        </w:rPr>
        <w:t>入口与出口边界条件</w:t>
      </w:r>
      <w:bookmarkEnd w:id="44"/>
      <w:bookmarkEnd w:id="45"/>
    </w:p>
    <w:p>
      <w:pPr>
        <w:rPr>
          <w:rFonts w:ascii="黑体" w:hAnsi="黑体" w:eastAsia="黑体"/>
          <w:sz w:val="24"/>
          <w:szCs w:val="24"/>
        </w:rPr>
      </w:pPr>
      <w:r>
        <w:rPr>
          <w:rFonts w:hint="eastAsia" w:ascii="黑体" w:hAnsi="黑体" w:eastAsia="黑体"/>
          <w:sz w:val="24"/>
          <w:szCs w:val="24"/>
        </w:rPr>
        <w:t>1）入口风速梯度</w:t>
      </w:r>
    </w:p>
    <w:p>
      <w:pPr>
        <w:pStyle w:val="3"/>
        <w:ind w:firstLine="420"/>
        <w:rPr>
          <w:lang w:val="en-US"/>
        </w:rPr>
      </w:pPr>
      <w:r>
        <w:rPr>
          <w:rFonts w:hint="eastAsia"/>
          <w:lang w:val="en-US"/>
        </w:rPr>
        <w:t>本项目中，入口边界条件主要包括不同工况下的风速和风向数据，其中入口风速采用下列梯度风：</w:t>
      </w:r>
    </w:p>
    <w:p>
      <w:pPr>
        <w:pStyle w:val="3"/>
        <w:ind w:firstLine="420"/>
        <w:jc w:val="right"/>
        <w:rPr>
          <w:lang w:val="en-US"/>
        </w:rPr>
      </w:pPr>
      <w:r>
        <w:rPr>
          <w:position w:val="-32"/>
          <w:lang w:val="en-US"/>
        </w:rPr>
        <w:object>
          <v:shape id="_x0000_i1025" o:spt="75" type="#_x0000_t75" style="height:41.3pt;width:70.75pt;" o:ole="t" filled="f" o:preferrelative="t" stroked="f" coordsize="21600,21600">
            <v:path/>
            <v:fill on="f" focussize="0,0"/>
            <v:stroke on="f" joinstyle="miter"/>
            <v:imagedata r:id="rId12" o:title=""/>
            <o:lock v:ext="edit" aspectratio="t"/>
            <w10:wrap type="none"/>
            <w10:anchorlock/>
          </v:shape>
          <o:OLEObject Type="Embed" ProgID="Equation.3" ShapeID="_x0000_i1025" DrawAspect="Content" ObjectID="_1468075725" r:id="rId11">
            <o:LockedField>false</o:LockedField>
          </o:OLEObject>
        </w:object>
      </w:r>
      <w:r>
        <w:rPr>
          <w:rFonts w:hint="eastAsia"/>
          <w:lang w:val="en-US"/>
        </w:rPr>
        <w:t xml:space="preserve">                                （</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lang w:val="en-US"/>
        </w:rPr>
        <w:t>4.3</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p>
      <w:pPr>
        <w:pStyle w:val="3"/>
        <w:ind w:firstLine="0" w:firstLineChars="0"/>
        <w:rPr>
          <w:lang w:val="en-US"/>
        </w:rPr>
      </w:pPr>
      <w:r>
        <w:rPr>
          <w:rFonts w:hint="eastAsia"/>
          <w:lang w:val="en-US"/>
        </w:rPr>
        <w:t>式中：</w:t>
      </w:r>
    </w:p>
    <w:p>
      <w:pPr>
        <w:pStyle w:val="3"/>
        <w:ind w:firstLine="0" w:firstLineChars="0"/>
        <w:rPr>
          <w:lang w:val="en-US"/>
        </w:rPr>
      </w:pPr>
      <w:r>
        <w:rPr>
          <w:i/>
          <w:sz w:val="24"/>
          <w:lang w:val="en-US"/>
        </w:rPr>
        <w:t>v, z</w:t>
      </w:r>
      <w:r>
        <w:rPr>
          <w:rFonts w:hint="eastAsia"/>
          <w:lang w:val="en-US"/>
        </w:rPr>
        <w:t>——任何一点的平均风速和高度；</w:t>
      </w:r>
    </w:p>
    <w:p>
      <w:pPr>
        <w:pStyle w:val="3"/>
        <w:ind w:firstLine="0" w:firstLineChars="0"/>
        <w:rPr>
          <w:lang w:val="en-US"/>
        </w:rPr>
      </w:pPr>
      <w:r>
        <w:rPr>
          <w:lang w:val="en-US"/>
        </w:rPr>
        <w:object>
          <v:shape id="_x0000_i1026" o:spt="75" type="#_x0000_t75" style="height:18.8pt;width:15.05pt;" o:ole="t" filled="f" o:preferrelative="t" stroked="f" coordsize="21600,21600">
            <v:path/>
            <v:fill on="f" focussize="0,0"/>
            <v:stroke on="f" joinstyle="miter"/>
            <v:imagedata r:id="rId14" o:title=""/>
            <o:lock v:ext="edit" aspectratio="t"/>
            <w10:wrap type="none"/>
            <w10:anchorlock/>
          </v:shape>
          <o:OLEObject Type="Embed" ProgID="Equation.3" ShapeID="_x0000_i1026" DrawAspect="Content" ObjectID="_1468075726" r:id="rId13">
            <o:LockedField>false</o:LockedField>
          </o:OLEObject>
        </w:object>
      </w:r>
      <w:r>
        <w:rPr>
          <w:rFonts w:hint="eastAsia"/>
          <w:lang w:val="en-US"/>
        </w:rPr>
        <w:t>、</w:t>
      </w:r>
      <w:r>
        <w:rPr>
          <w:lang w:val="en-US"/>
        </w:rPr>
        <w:t xml:space="preserve"> </w:t>
      </w:r>
      <w:r>
        <w:rPr>
          <w:position w:val="-10"/>
          <w:lang w:val="en-US"/>
        </w:rPr>
        <w:object>
          <v:shape id="_x0000_i1027" o:spt="75" type="#_x0000_t75" style="height:18.8pt;width:14.4pt;" o:ole="t" filled="f" o:preferrelative="t" stroked="f" coordsize="21600,21600">
            <v:path/>
            <v:fill on="f" focussize="0,0"/>
            <v:stroke on="f" joinstyle="miter"/>
            <v:imagedata r:id="rId16" o:title=""/>
            <o:lock v:ext="edit" aspectratio="t"/>
            <w10:wrap type="none"/>
            <w10:anchorlock/>
          </v:shape>
          <o:OLEObject Type="Embed" ProgID="Equation.3" ShapeID="_x0000_i1027" DrawAspect="Content" ObjectID="_1468075727" r:id="rId15">
            <o:LockedField>false</o:LockedField>
          </o:OLEObject>
        </w:object>
      </w:r>
      <w:r>
        <w:rPr>
          <w:rFonts w:hint="eastAsia"/>
          <w:lang w:val="en-US"/>
        </w:rPr>
        <w:t>——标准高度处的平均风速和标准高度值，《建筑结构荷载规范》</w:t>
      </w:r>
      <w:r>
        <w:rPr>
          <w:lang w:val="en-US"/>
        </w:rPr>
        <w:t>GB50009-2012</w:t>
      </w:r>
      <w:r>
        <w:rPr>
          <w:rFonts w:hint="eastAsia"/>
          <w:lang w:val="en-US"/>
        </w:rPr>
        <w:t>规定自然风场的标准高度取</w:t>
      </w:r>
      <w:r>
        <w:rPr>
          <w:lang w:val="en-US"/>
        </w:rPr>
        <w:t>10m</w:t>
      </w:r>
      <w:r>
        <w:rPr>
          <w:rFonts w:hint="eastAsia"/>
          <w:lang w:val="en-US"/>
        </w:rPr>
        <w:t>，此平均风速对应入口风设置的数值；</w:t>
      </w:r>
    </w:p>
    <w:p>
      <w:pPr>
        <w:pStyle w:val="3"/>
        <w:spacing w:after="156" w:afterLines="50"/>
        <w:ind w:firstLine="0" w:firstLineChars="0"/>
        <w:rPr>
          <w:lang w:val="en-US"/>
        </w:rPr>
      </w:pPr>
      <w:r>
        <w:rPr>
          <w:i/>
          <w:lang w:val="en-US"/>
        </w:rPr>
        <w:t>a</w:t>
      </w:r>
      <w:r>
        <w:rPr>
          <w:rFonts w:hint="eastAsia"/>
          <w:lang w:val="en-US"/>
        </w:rPr>
        <w:t>——地面粗糙度指数，</w:t>
      </w:r>
      <w:r>
        <w:rPr>
          <w:lang w:val="en-US"/>
        </w:rPr>
        <w:t>本项目为</w:t>
      </w:r>
      <w:bookmarkStart w:id="46" w:name="地面粗糙度指数2"/>
      <w:r>
        <w:rPr>
          <w:rFonts w:hint="eastAsia"/>
          <w:lang w:val="en-US"/>
        </w:rPr>
        <w:t>0.28</w:t>
      </w:r>
      <w:bookmarkEnd w:id="46"/>
      <w:r>
        <w:rPr>
          <w:rFonts w:hint="eastAsia"/>
          <w:lang w:val="en-US"/>
        </w:rPr>
        <w:t>；</w:t>
      </w:r>
    </w:p>
    <w:p>
      <w:pPr>
        <w:pStyle w:val="3"/>
        <w:ind w:firstLine="2200" w:firstLineChars="1100"/>
        <w:rPr>
          <w:rFonts w:ascii="黑体" w:hAnsi="黑体" w:eastAsia="黑体"/>
        </w:rPr>
      </w:pPr>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4.3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地面粗糙度指数参考值</w:t>
      </w:r>
    </w:p>
    <w:tbl>
      <w:tblPr>
        <w:tblStyle w:val="21"/>
        <w:tblW w:w="8931" w:type="dxa"/>
        <w:tblInd w:w="-34" w:type="dxa"/>
        <w:tblLayout w:type="fixed"/>
        <w:tblCellMar>
          <w:top w:w="0" w:type="dxa"/>
          <w:left w:w="108" w:type="dxa"/>
          <w:bottom w:w="0" w:type="dxa"/>
          <w:right w:w="108" w:type="dxa"/>
        </w:tblCellMar>
      </w:tblPr>
      <w:tblGrid>
        <w:gridCol w:w="2864"/>
        <w:gridCol w:w="4366"/>
        <w:gridCol w:w="1701"/>
      </w:tblGrid>
      <w:tr>
        <w:tblPrEx>
          <w:tblLayout w:type="fixed"/>
          <w:tblCellMar>
            <w:top w:w="0" w:type="dxa"/>
            <w:left w:w="108" w:type="dxa"/>
            <w:bottom w:w="0" w:type="dxa"/>
            <w:right w:w="108" w:type="dxa"/>
          </w:tblCellMar>
        </w:tblPrEx>
        <w:trPr>
          <w:trHeight w:val="285" w:hRule="atLeast"/>
        </w:trPr>
        <w:tc>
          <w:tcPr>
            <w:tcW w:w="2864" w:type="dxa"/>
            <w:tcBorders>
              <w:top w:val="single" w:color="auto" w:sz="4" w:space="0"/>
              <w:left w:val="single" w:color="auto" w:sz="4" w:space="0"/>
              <w:bottom w:val="single" w:color="auto" w:sz="4" w:space="0"/>
              <w:right w:val="single" w:color="auto" w:sz="4" w:space="0"/>
            </w:tcBorders>
          </w:tcPr>
          <w:p>
            <w:pPr>
              <w:jc w:val="center"/>
              <w:rPr>
                <w:rFonts w:ascii="宋体" w:hAnsi="宋体" w:cs="宋体"/>
                <w:b/>
                <w:bCs/>
                <w:szCs w:val="21"/>
              </w:rPr>
            </w:pPr>
            <w:r>
              <w:rPr>
                <w:rFonts w:hint="eastAsia" w:ascii="宋体" w:hAnsi="宋体" w:cs="宋体"/>
                <w:b/>
                <w:bCs/>
                <w:szCs w:val="21"/>
              </w:rPr>
              <w:t>参考标准</w:t>
            </w:r>
          </w:p>
        </w:tc>
        <w:tc>
          <w:tcPr>
            <w:tcW w:w="4366" w:type="dxa"/>
            <w:tcBorders>
              <w:top w:val="single" w:color="auto" w:sz="4" w:space="0"/>
              <w:left w:val="nil"/>
              <w:bottom w:val="single" w:color="auto" w:sz="4" w:space="0"/>
              <w:right w:val="single" w:color="auto" w:sz="4" w:space="0"/>
            </w:tcBorders>
            <w:vAlign w:val="center"/>
          </w:tcPr>
          <w:p>
            <w:pPr>
              <w:jc w:val="center"/>
              <w:rPr>
                <w:rFonts w:ascii="宋体" w:hAnsi="宋体" w:cs="宋体"/>
                <w:b/>
                <w:bCs/>
                <w:szCs w:val="21"/>
              </w:rPr>
            </w:pPr>
            <w:r>
              <w:rPr>
                <w:rFonts w:hint="eastAsia" w:ascii="宋体" w:hAnsi="宋体" w:cs="宋体"/>
                <w:b/>
                <w:bCs/>
                <w:szCs w:val="21"/>
              </w:rPr>
              <w:t>地貌类别</w:t>
            </w:r>
          </w:p>
        </w:tc>
        <w:tc>
          <w:tcPr>
            <w:tcW w:w="1701" w:type="dxa"/>
            <w:tcBorders>
              <w:top w:val="single" w:color="auto" w:sz="4" w:space="0"/>
              <w:left w:val="nil"/>
              <w:bottom w:val="single" w:color="auto" w:sz="4" w:space="0"/>
              <w:right w:val="single" w:color="auto" w:sz="4" w:space="0"/>
            </w:tcBorders>
          </w:tcPr>
          <w:p>
            <w:pPr>
              <w:jc w:val="center"/>
              <w:rPr>
                <w:rFonts w:ascii="宋体" w:hAnsi="宋体" w:cs="宋体"/>
                <w:b/>
                <w:bCs/>
                <w:szCs w:val="21"/>
              </w:rPr>
            </w:pPr>
            <w:r>
              <w:rPr>
                <w:rFonts w:hint="eastAsia" w:ascii="宋体" w:hAnsi="宋体" w:cs="宋体"/>
                <w:b/>
                <w:bCs/>
                <w:szCs w:val="21"/>
              </w:rPr>
              <w:t>地面粗糙度指数</w:t>
            </w:r>
          </w:p>
        </w:tc>
      </w:tr>
      <w:tr>
        <w:tblPrEx>
          <w:tblLayout w:type="fixed"/>
          <w:tblCellMar>
            <w:top w:w="0" w:type="dxa"/>
            <w:left w:w="108" w:type="dxa"/>
            <w:bottom w:w="0" w:type="dxa"/>
            <w:right w:w="108" w:type="dxa"/>
          </w:tblCellMar>
        </w:tblPrEx>
        <w:trPr>
          <w:trHeight w:val="414" w:hRule="atLeast"/>
        </w:trPr>
        <w:tc>
          <w:tcPr>
            <w:tcW w:w="2864" w:type="dxa"/>
            <w:vMerge w:val="restart"/>
            <w:tcBorders>
              <w:top w:val="single" w:color="auto" w:sz="4" w:space="0"/>
              <w:left w:val="single" w:color="auto" w:sz="4" w:space="0"/>
              <w:right w:val="single" w:color="auto" w:sz="4" w:space="0"/>
            </w:tcBorders>
            <w:vAlign w:val="center"/>
          </w:tcPr>
          <w:p>
            <w:pPr>
              <w:rPr>
                <w:rFonts w:ascii="宋体" w:hAnsi="宋体" w:cs="宋体"/>
                <w:b/>
                <w:szCs w:val="21"/>
              </w:rPr>
            </w:pPr>
            <w:r>
              <w:rPr>
                <w:rFonts w:hint="eastAsia"/>
              </w:rPr>
              <w:t>《绿色建筑评价技术细则》</w:t>
            </w:r>
          </w:p>
        </w:tc>
        <w:tc>
          <w:tcPr>
            <w:tcW w:w="4366" w:type="dxa"/>
            <w:tcBorders>
              <w:top w:val="single" w:color="auto" w:sz="4" w:space="0"/>
              <w:left w:val="nil"/>
              <w:bottom w:val="single" w:color="auto" w:sz="4" w:space="0"/>
              <w:right w:val="single" w:color="auto" w:sz="4" w:space="0"/>
            </w:tcBorders>
            <w:vAlign w:val="center"/>
          </w:tcPr>
          <w:p>
            <w:pPr>
              <w:jc w:val="center"/>
              <w:rPr>
                <w:rFonts w:ascii="宋体" w:hAnsi="宋体" w:cs="宋体"/>
                <w:szCs w:val="21"/>
              </w:rPr>
            </w:pPr>
            <w:r>
              <w:rPr>
                <w:rFonts w:hint="eastAsia" w:ascii="宋体" w:hAnsi="宋体" w:cs="宋体"/>
                <w:szCs w:val="21"/>
              </w:rPr>
              <w:t>空旷平坦地面</w:t>
            </w:r>
          </w:p>
        </w:tc>
        <w:tc>
          <w:tcPr>
            <w:tcW w:w="1701" w:type="dxa"/>
            <w:tcBorders>
              <w:top w:val="single" w:color="auto" w:sz="4" w:space="0"/>
              <w:left w:val="nil"/>
              <w:bottom w:val="single" w:color="auto" w:sz="4" w:space="0"/>
              <w:right w:val="single" w:color="auto" w:sz="4" w:space="0"/>
            </w:tcBorders>
          </w:tcPr>
          <w:p>
            <w:pPr>
              <w:jc w:val="center"/>
              <w:rPr>
                <w:rFonts w:ascii="宋体" w:hAnsi="宋体" w:cs="宋体"/>
                <w:szCs w:val="21"/>
              </w:rPr>
            </w:pPr>
            <w:r>
              <w:rPr>
                <w:rFonts w:hint="eastAsia" w:ascii="宋体" w:hAnsi="宋体" w:cs="宋体"/>
                <w:szCs w:val="21"/>
              </w:rPr>
              <w:t>0.14</w:t>
            </w:r>
          </w:p>
        </w:tc>
      </w:tr>
      <w:tr>
        <w:tblPrEx>
          <w:tblLayout w:type="fixed"/>
          <w:tblCellMar>
            <w:top w:w="0" w:type="dxa"/>
            <w:left w:w="108" w:type="dxa"/>
            <w:bottom w:w="0" w:type="dxa"/>
            <w:right w:w="108" w:type="dxa"/>
          </w:tblCellMar>
        </w:tblPrEx>
        <w:trPr>
          <w:trHeight w:val="414" w:hRule="atLeast"/>
        </w:trPr>
        <w:tc>
          <w:tcPr>
            <w:tcW w:w="2864" w:type="dxa"/>
            <w:vMerge w:val="continue"/>
            <w:tcBorders>
              <w:left w:val="single" w:color="auto" w:sz="4" w:space="0"/>
              <w:right w:val="single" w:color="auto" w:sz="4" w:space="0"/>
            </w:tcBorders>
          </w:tcPr>
          <w:p>
            <w:pPr>
              <w:jc w:val="center"/>
              <w:rPr>
                <w:rFonts w:ascii="宋体" w:hAnsi="宋体" w:cs="宋体"/>
                <w:b/>
                <w:szCs w:val="21"/>
              </w:rPr>
            </w:pPr>
          </w:p>
        </w:tc>
        <w:tc>
          <w:tcPr>
            <w:tcW w:w="4366" w:type="dxa"/>
            <w:tcBorders>
              <w:top w:val="single" w:color="auto" w:sz="4" w:space="0"/>
              <w:left w:val="nil"/>
              <w:bottom w:val="single" w:color="auto" w:sz="4" w:space="0"/>
              <w:right w:val="single" w:color="auto" w:sz="4" w:space="0"/>
            </w:tcBorders>
            <w:vAlign w:val="center"/>
          </w:tcPr>
          <w:p>
            <w:pPr>
              <w:jc w:val="center"/>
              <w:rPr>
                <w:rFonts w:ascii="宋体" w:hAnsi="宋体" w:cs="宋体"/>
                <w:szCs w:val="21"/>
              </w:rPr>
            </w:pPr>
            <w:r>
              <w:rPr>
                <w:rFonts w:hint="eastAsia" w:ascii="宋体" w:hAnsi="宋体" w:cs="宋体"/>
                <w:szCs w:val="21"/>
              </w:rPr>
              <w:t>城市郊区</w:t>
            </w:r>
          </w:p>
        </w:tc>
        <w:tc>
          <w:tcPr>
            <w:tcW w:w="1701" w:type="dxa"/>
            <w:tcBorders>
              <w:top w:val="single" w:color="auto" w:sz="4" w:space="0"/>
              <w:left w:val="nil"/>
              <w:bottom w:val="single" w:color="auto" w:sz="4" w:space="0"/>
              <w:right w:val="single" w:color="auto" w:sz="4" w:space="0"/>
            </w:tcBorders>
          </w:tcPr>
          <w:p>
            <w:pPr>
              <w:jc w:val="center"/>
              <w:rPr>
                <w:rFonts w:ascii="宋体" w:hAnsi="宋体" w:cs="宋体"/>
                <w:szCs w:val="21"/>
              </w:rPr>
            </w:pPr>
            <w:r>
              <w:rPr>
                <w:rFonts w:hint="eastAsia" w:ascii="宋体" w:hAnsi="宋体" w:cs="宋体"/>
                <w:szCs w:val="21"/>
              </w:rPr>
              <w:t>0.22</w:t>
            </w:r>
          </w:p>
        </w:tc>
      </w:tr>
      <w:tr>
        <w:tblPrEx>
          <w:tblLayout w:type="fixed"/>
          <w:tblCellMar>
            <w:top w:w="0" w:type="dxa"/>
            <w:left w:w="108" w:type="dxa"/>
            <w:bottom w:w="0" w:type="dxa"/>
            <w:right w:w="108" w:type="dxa"/>
          </w:tblCellMar>
        </w:tblPrEx>
        <w:trPr>
          <w:trHeight w:val="414" w:hRule="atLeast"/>
        </w:trPr>
        <w:tc>
          <w:tcPr>
            <w:tcW w:w="2864" w:type="dxa"/>
            <w:vMerge w:val="continue"/>
            <w:tcBorders>
              <w:left w:val="single" w:color="auto" w:sz="4" w:space="0"/>
              <w:bottom w:val="single" w:color="auto" w:sz="4" w:space="0"/>
              <w:right w:val="single" w:color="auto" w:sz="4" w:space="0"/>
            </w:tcBorders>
          </w:tcPr>
          <w:p>
            <w:pPr>
              <w:jc w:val="center"/>
              <w:rPr>
                <w:rFonts w:ascii="宋体" w:hAnsi="宋体" w:cs="宋体"/>
                <w:b/>
                <w:szCs w:val="21"/>
              </w:rPr>
            </w:pPr>
          </w:p>
        </w:tc>
        <w:tc>
          <w:tcPr>
            <w:tcW w:w="4366" w:type="dxa"/>
            <w:tcBorders>
              <w:top w:val="single" w:color="auto" w:sz="4" w:space="0"/>
              <w:left w:val="nil"/>
              <w:bottom w:val="single" w:color="auto" w:sz="4" w:space="0"/>
              <w:right w:val="single" w:color="auto" w:sz="4" w:space="0"/>
            </w:tcBorders>
            <w:vAlign w:val="center"/>
          </w:tcPr>
          <w:p>
            <w:pPr>
              <w:jc w:val="center"/>
              <w:rPr>
                <w:rFonts w:ascii="宋体" w:hAnsi="宋体" w:cs="宋体"/>
                <w:szCs w:val="21"/>
              </w:rPr>
            </w:pPr>
            <w:r>
              <w:rPr>
                <w:rFonts w:hint="eastAsia" w:ascii="宋体" w:hAnsi="宋体" w:cs="宋体"/>
                <w:szCs w:val="21"/>
              </w:rPr>
              <w:t>大城市中心</w:t>
            </w:r>
          </w:p>
        </w:tc>
        <w:tc>
          <w:tcPr>
            <w:tcW w:w="1701" w:type="dxa"/>
            <w:tcBorders>
              <w:top w:val="single" w:color="auto" w:sz="4" w:space="0"/>
              <w:left w:val="nil"/>
              <w:bottom w:val="single" w:color="auto" w:sz="4" w:space="0"/>
              <w:right w:val="single" w:color="auto" w:sz="4" w:space="0"/>
            </w:tcBorders>
          </w:tcPr>
          <w:p>
            <w:pPr>
              <w:jc w:val="center"/>
              <w:rPr>
                <w:rFonts w:ascii="宋体" w:hAnsi="宋体" w:cs="宋体"/>
                <w:szCs w:val="21"/>
              </w:rPr>
            </w:pPr>
            <w:r>
              <w:rPr>
                <w:rFonts w:hint="eastAsia" w:ascii="宋体" w:hAnsi="宋体" w:cs="宋体"/>
                <w:szCs w:val="21"/>
              </w:rPr>
              <w:t>0.28</w:t>
            </w:r>
          </w:p>
        </w:tc>
      </w:tr>
    </w:tbl>
    <w:p>
      <w:pPr>
        <w:spacing w:before="156" w:beforeLines="50" w:line="240" w:lineRule="auto"/>
        <w:rPr>
          <w:rFonts w:ascii="黑体" w:hAnsi="黑体" w:eastAsia="黑体"/>
          <w:lang w:val="en-US"/>
        </w:rPr>
      </w:pPr>
      <w:r>
        <w:rPr>
          <w:rFonts w:hint="eastAsia" w:ascii="黑体" w:hAnsi="黑体" w:eastAsia="黑体"/>
          <w:lang w:val="en-US"/>
        </w:rPr>
        <w:t>注：上述地面粗糙度指数参考《绿色建筑评价技术细则》关于4.2.6节条文说明，也可酌情参考《建筑通风效果测试与评价标准》JGJT3099-2013中5.2.1节</w:t>
      </w:r>
    </w:p>
    <w:p>
      <w:pPr>
        <w:spacing w:before="156" w:beforeLines="50" w:line="240" w:lineRule="auto"/>
        <w:rPr>
          <w:rFonts w:ascii="黑体" w:hAnsi="黑体" w:eastAsia="黑体"/>
        </w:rPr>
      </w:pPr>
      <w:r>
        <w:rPr>
          <w:rFonts w:ascii="黑体" w:hAnsi="黑体" w:eastAsia="黑体"/>
          <w:sz w:val="24"/>
          <w:szCs w:val="24"/>
        </w:rPr>
        <w:t>2）出口边界</w:t>
      </w:r>
      <w:r>
        <w:rPr>
          <w:rFonts w:hint="eastAsia" w:ascii="黑体" w:hAnsi="黑体" w:eastAsia="黑体"/>
          <w:sz w:val="24"/>
          <w:szCs w:val="24"/>
        </w:rPr>
        <w:t>条件</w:t>
      </w:r>
    </w:p>
    <w:p>
      <w:pPr>
        <w:spacing w:before="156" w:beforeLines="50" w:line="240" w:lineRule="auto"/>
        <w:rPr>
          <w:szCs w:val="21"/>
          <w:lang w:val="en-US"/>
        </w:rPr>
      </w:pPr>
      <w:r>
        <w:rPr>
          <w:szCs w:val="21"/>
          <w:lang w:val="en-US"/>
        </w:rPr>
        <w:t xml:space="preserve">    </w:t>
      </w:r>
      <w:r>
        <w:rPr>
          <w:rFonts w:hint="eastAsia"/>
          <w:szCs w:val="21"/>
          <w:lang w:val="en-US"/>
        </w:rPr>
        <w:t>本项目采用自由出流作为出口边界条件。</w:t>
      </w:r>
    </w:p>
    <w:p>
      <w:pPr>
        <w:pStyle w:val="5"/>
      </w:pPr>
      <w:bookmarkStart w:id="47" w:name="_Toc509844744"/>
      <w:bookmarkStart w:id="48" w:name="_Toc8838"/>
      <w:r>
        <w:rPr>
          <w:rFonts w:hint="eastAsia"/>
        </w:rPr>
        <w:t>壁面边界条件</w:t>
      </w:r>
      <w:bookmarkEnd w:id="47"/>
      <w:bookmarkEnd w:id="48"/>
    </w:p>
    <w:p>
      <w:pPr>
        <w:pStyle w:val="3"/>
        <w:ind w:firstLine="210" w:firstLineChars="100"/>
        <w:jc w:val="left"/>
        <w:rPr>
          <w:rFonts w:ascii="Calibri Light" w:hAnsi="Calibri Light" w:eastAsia="黑体"/>
          <w:sz w:val="20"/>
          <w:szCs w:val="20"/>
        </w:rPr>
      </w:pPr>
      <w:r>
        <w:rPr>
          <w:lang w:val="en-US"/>
        </w:rPr>
        <w:t xml:space="preserve">  </w:t>
      </w:r>
      <w:r>
        <w:rPr>
          <w:rFonts w:hint="eastAsia"/>
          <w:lang w:val="en-US"/>
        </w:rPr>
        <w:t>风场的两个</w:t>
      </w:r>
      <w:r>
        <w:rPr>
          <w:rFonts w:hint="eastAsia"/>
          <w:b/>
          <w:lang w:val="en-US"/>
        </w:rPr>
        <w:t>侧</w:t>
      </w:r>
      <w:r>
        <w:rPr>
          <w:rFonts w:hint="eastAsia"/>
          <w:lang w:val="en-US"/>
        </w:rPr>
        <w:t>面边界和</w:t>
      </w:r>
      <w:r>
        <w:rPr>
          <w:rFonts w:hint="eastAsia"/>
          <w:b/>
          <w:lang w:val="en-US"/>
        </w:rPr>
        <w:t>顶</w:t>
      </w:r>
      <w:r>
        <w:rPr>
          <w:rFonts w:hint="eastAsia"/>
          <w:lang w:val="en-US"/>
        </w:rPr>
        <w:t>边界设定为滑移壁面，即假定空气流动不受壁面摩擦力影响，模拟真实的室外风流动。</w:t>
      </w:r>
    </w:p>
    <w:p>
      <w:r>
        <w:rPr>
          <w:rFonts w:hint="eastAsia"/>
        </w:rPr>
        <w:t xml:space="preserve"> </w:t>
      </w:r>
      <w:r>
        <w:t xml:space="preserve"> </w:t>
      </w:r>
      <w:r>
        <w:rPr>
          <w:rFonts w:hint="eastAsia"/>
        </w:rPr>
        <w:t xml:space="preserve">  风场的地面边界设定为无滑移壁面，空气流动要受到地面摩擦力的影响。</w:t>
      </w:r>
    </w:p>
    <w:p>
      <w:pPr>
        <w:pStyle w:val="4"/>
        <w:numPr>
          <w:ilvl w:val="1"/>
          <w:numId w:val="3"/>
        </w:numPr>
      </w:pPr>
      <w:bookmarkStart w:id="49" w:name="_Toc12322"/>
      <w:r>
        <w:rPr>
          <w:rFonts w:hint="eastAsia"/>
        </w:rPr>
        <w:t>湍流模型</w:t>
      </w:r>
      <w:bookmarkEnd w:id="25"/>
      <w:bookmarkEnd w:id="26"/>
      <w:bookmarkEnd w:id="49"/>
    </w:p>
    <w:p>
      <w:pPr>
        <w:pStyle w:val="3"/>
        <w:ind w:firstLine="420"/>
      </w:pPr>
      <w:r>
        <w:rPr>
          <w:rFonts w:hint="eastAsia"/>
        </w:rPr>
        <w:t>湍流模型反映了流体流动的状态，在流体力学数值模拟中，不同的流体流动应该选择合适的湍流模型才会最大限度模拟出真实的流场数值。</w:t>
      </w:r>
    </w:p>
    <w:p>
      <w:pPr>
        <w:pStyle w:val="3"/>
        <w:ind w:firstLine="420"/>
      </w:pPr>
      <w:r>
        <w:rPr>
          <w:rFonts w:hint="eastAsia"/>
        </w:rPr>
        <w:t>本项目依据《绿色建筑评价技术细则》推荐的标准k-ε湍流模型进行室外流场计算。</w:t>
      </w:r>
    </w:p>
    <w:p>
      <w:pPr>
        <w:pStyle w:val="3"/>
        <w:ind w:firstLine="420"/>
      </w:pPr>
      <w:r>
        <w:rPr>
          <w:rFonts w:hint="eastAsia"/>
        </w:rPr>
        <w:t>下表为几种工程流体中常见的湍流模型适用性：</w:t>
      </w:r>
    </w:p>
    <w:p>
      <w:pPr>
        <w:pStyle w:val="3"/>
        <w:ind w:firstLine="0" w:firstLineChars="0"/>
        <w:jc w:val="center"/>
        <w:rPr>
          <w:rFonts w:ascii="黑体" w:hAnsi="黑体" w:eastAsia="黑体"/>
          <w:sz w:val="20"/>
          <w:szCs w:val="20"/>
        </w:rPr>
      </w:pPr>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4.4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常用湍流模型适用范围</w:t>
      </w:r>
    </w:p>
    <w:tbl>
      <w:tblPr>
        <w:tblStyle w:val="21"/>
        <w:tblW w:w="9400" w:type="dxa"/>
        <w:tblInd w:w="93" w:type="dxa"/>
        <w:tblLayout w:type="fixed"/>
        <w:tblCellMar>
          <w:top w:w="0" w:type="dxa"/>
          <w:left w:w="108" w:type="dxa"/>
          <w:bottom w:w="0" w:type="dxa"/>
          <w:right w:w="108" w:type="dxa"/>
        </w:tblCellMar>
      </w:tblPr>
      <w:tblGrid>
        <w:gridCol w:w="2640"/>
        <w:gridCol w:w="6760"/>
      </w:tblGrid>
      <w:tr>
        <w:tblPrEx>
          <w:tblLayout w:type="fixed"/>
          <w:tblCellMar>
            <w:top w:w="0" w:type="dxa"/>
            <w:left w:w="108" w:type="dxa"/>
            <w:bottom w:w="0" w:type="dxa"/>
            <w:right w:w="108" w:type="dxa"/>
          </w:tblCellMar>
        </w:tblPrEx>
        <w:trPr>
          <w:trHeight w:val="285" w:hRule="atLeast"/>
        </w:trPr>
        <w:tc>
          <w:tcPr>
            <w:tcW w:w="264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b/>
                <w:bCs/>
                <w:szCs w:val="21"/>
              </w:rPr>
            </w:pPr>
            <w:r>
              <w:rPr>
                <w:rFonts w:hint="eastAsia" w:ascii="宋体" w:hAnsi="宋体" w:cs="宋体"/>
                <w:b/>
                <w:bCs/>
                <w:szCs w:val="21"/>
              </w:rPr>
              <w:t>常用湍流模型</w:t>
            </w:r>
          </w:p>
        </w:tc>
        <w:tc>
          <w:tcPr>
            <w:tcW w:w="6760" w:type="dxa"/>
            <w:tcBorders>
              <w:top w:val="single" w:color="auto" w:sz="4" w:space="0"/>
              <w:left w:val="nil"/>
              <w:bottom w:val="single" w:color="auto" w:sz="4" w:space="0"/>
              <w:right w:val="single" w:color="auto" w:sz="4" w:space="0"/>
            </w:tcBorders>
            <w:vAlign w:val="center"/>
          </w:tcPr>
          <w:p>
            <w:pPr>
              <w:jc w:val="center"/>
              <w:rPr>
                <w:rFonts w:ascii="宋体" w:hAnsi="宋体" w:cs="宋体"/>
                <w:b/>
                <w:bCs/>
                <w:szCs w:val="21"/>
              </w:rPr>
            </w:pPr>
            <w:r>
              <w:rPr>
                <w:rFonts w:hint="eastAsia" w:ascii="宋体" w:hAnsi="宋体" w:cs="宋体"/>
                <w:b/>
                <w:bCs/>
                <w:szCs w:val="21"/>
              </w:rPr>
              <w:t>特点和适用工况</w:t>
            </w:r>
          </w:p>
        </w:tc>
      </w:tr>
      <w:tr>
        <w:tblPrEx>
          <w:tblLayout w:type="fixed"/>
          <w:tblCellMar>
            <w:top w:w="0" w:type="dxa"/>
            <w:left w:w="108" w:type="dxa"/>
            <w:bottom w:w="0" w:type="dxa"/>
            <w:right w:w="108" w:type="dxa"/>
          </w:tblCellMar>
        </w:tblPrEx>
        <w:trPr>
          <w:trHeight w:val="1219" w:hRule="atLeast"/>
        </w:trPr>
        <w:tc>
          <w:tcPr>
            <w:tcW w:w="2640" w:type="dxa"/>
            <w:tcBorders>
              <w:top w:val="nil"/>
              <w:left w:val="single" w:color="auto" w:sz="4" w:space="0"/>
              <w:bottom w:val="single" w:color="auto" w:sz="4" w:space="0"/>
              <w:right w:val="single" w:color="auto" w:sz="4" w:space="0"/>
            </w:tcBorders>
            <w:vAlign w:val="center"/>
          </w:tcPr>
          <w:p>
            <w:pPr>
              <w:jc w:val="center"/>
              <w:rPr>
                <w:rFonts w:ascii="宋体" w:hAnsi="宋体" w:cs="宋体"/>
                <w:b/>
                <w:szCs w:val="21"/>
              </w:rPr>
            </w:pPr>
            <w:r>
              <w:rPr>
                <w:rFonts w:hint="eastAsia" w:ascii="宋体" w:hAnsi="宋体" w:cs="宋体"/>
                <w:b/>
                <w:szCs w:val="21"/>
              </w:rPr>
              <w:t xml:space="preserve"> standard k-ε </w:t>
            </w:r>
            <w:r>
              <w:rPr>
                <w:rFonts w:hint="eastAsia" w:ascii="宋体" w:hAnsi="宋体" w:cs="宋体"/>
                <w:b/>
                <w:color w:val="333333"/>
                <w:szCs w:val="21"/>
              </w:rPr>
              <w:t>模型</w:t>
            </w:r>
          </w:p>
        </w:tc>
        <w:tc>
          <w:tcPr>
            <w:tcW w:w="6760" w:type="dxa"/>
            <w:tcBorders>
              <w:top w:val="nil"/>
              <w:left w:val="nil"/>
              <w:bottom w:val="single" w:color="auto" w:sz="4" w:space="0"/>
              <w:right w:val="single" w:color="auto" w:sz="4" w:space="0"/>
            </w:tcBorders>
            <w:vAlign w:val="center"/>
          </w:tcPr>
          <w:p>
            <w:pPr>
              <w:rPr>
                <w:rFonts w:ascii="宋体" w:hAnsi="宋体" w:cs="宋体"/>
                <w:szCs w:val="21"/>
              </w:rPr>
            </w:pPr>
            <w:r>
              <w:rPr>
                <w:rFonts w:hint="eastAsia" w:ascii="宋体" w:hAnsi="宋体" w:cs="宋体"/>
                <w:szCs w:val="21"/>
              </w:rPr>
              <w:t>简单的工业流场和热交换模拟，无较大压力梯度、分离、强曲率流，适用于初始的参数研究，一般的建筑通风均适用。</w:t>
            </w:r>
          </w:p>
        </w:tc>
      </w:tr>
      <w:tr>
        <w:tblPrEx>
          <w:tblLayout w:type="fixed"/>
          <w:tblCellMar>
            <w:top w:w="0" w:type="dxa"/>
            <w:left w:w="108" w:type="dxa"/>
            <w:bottom w:w="0" w:type="dxa"/>
            <w:right w:w="108" w:type="dxa"/>
          </w:tblCellMar>
        </w:tblPrEx>
        <w:trPr>
          <w:trHeight w:val="855" w:hRule="atLeast"/>
        </w:trPr>
        <w:tc>
          <w:tcPr>
            <w:tcW w:w="2640" w:type="dxa"/>
            <w:tcBorders>
              <w:top w:val="nil"/>
              <w:left w:val="single" w:color="auto" w:sz="4" w:space="0"/>
              <w:bottom w:val="single" w:color="auto" w:sz="4" w:space="0"/>
              <w:right w:val="single" w:color="auto" w:sz="4" w:space="0"/>
            </w:tcBorders>
            <w:vAlign w:val="center"/>
          </w:tcPr>
          <w:p>
            <w:pPr>
              <w:jc w:val="center"/>
              <w:rPr>
                <w:rFonts w:ascii="宋体" w:hAnsi="宋体" w:cs="宋体"/>
                <w:b/>
                <w:szCs w:val="21"/>
              </w:rPr>
            </w:pPr>
            <w:r>
              <w:rPr>
                <w:rFonts w:hint="eastAsia" w:ascii="宋体" w:hAnsi="宋体" w:cs="宋体"/>
                <w:b/>
                <w:szCs w:val="21"/>
              </w:rPr>
              <w:t>RNG k-ε</w:t>
            </w:r>
            <w:r>
              <w:rPr>
                <w:rFonts w:hint="eastAsia" w:ascii="宋体" w:hAnsi="宋体" w:cs="宋体"/>
                <w:b/>
                <w:color w:val="333333"/>
                <w:szCs w:val="21"/>
              </w:rPr>
              <w:t>模型</w:t>
            </w:r>
          </w:p>
        </w:tc>
        <w:tc>
          <w:tcPr>
            <w:tcW w:w="6760" w:type="dxa"/>
            <w:tcBorders>
              <w:top w:val="nil"/>
              <w:left w:val="nil"/>
              <w:bottom w:val="single" w:color="auto" w:sz="4" w:space="0"/>
              <w:right w:val="single" w:color="auto" w:sz="4" w:space="0"/>
            </w:tcBorders>
            <w:vAlign w:val="center"/>
          </w:tcPr>
          <w:p>
            <w:pPr>
              <w:rPr>
                <w:rFonts w:ascii="宋体" w:hAnsi="宋体" w:cs="宋体"/>
                <w:szCs w:val="21"/>
              </w:rPr>
            </w:pPr>
            <w:r>
              <w:rPr>
                <w:rFonts w:hint="eastAsia" w:ascii="宋体" w:hAnsi="宋体" w:cs="宋体"/>
                <w:szCs w:val="21"/>
              </w:rPr>
              <w:t>适合包括快速应变的复杂剪切流、中等旋涡流动、局部转捩流如边界层分离、钝体尾迹涡、大角度失速、房间通风、室外空气流动。</w:t>
            </w:r>
          </w:p>
        </w:tc>
      </w:tr>
      <w:tr>
        <w:tblPrEx>
          <w:tblLayout w:type="fixed"/>
          <w:tblCellMar>
            <w:top w:w="0" w:type="dxa"/>
            <w:left w:w="108" w:type="dxa"/>
            <w:bottom w:w="0" w:type="dxa"/>
            <w:right w:w="108" w:type="dxa"/>
          </w:tblCellMar>
        </w:tblPrEx>
        <w:trPr>
          <w:trHeight w:val="570" w:hRule="atLeast"/>
        </w:trPr>
        <w:tc>
          <w:tcPr>
            <w:tcW w:w="2640" w:type="dxa"/>
            <w:tcBorders>
              <w:top w:val="nil"/>
              <w:left w:val="single" w:color="auto" w:sz="4" w:space="0"/>
              <w:bottom w:val="single" w:color="auto" w:sz="4" w:space="0"/>
              <w:right w:val="single" w:color="auto" w:sz="4" w:space="0"/>
            </w:tcBorders>
            <w:vAlign w:val="center"/>
          </w:tcPr>
          <w:p>
            <w:pPr>
              <w:jc w:val="center"/>
              <w:rPr>
                <w:rFonts w:ascii="宋体" w:hAnsi="宋体" w:cs="宋体"/>
                <w:b/>
                <w:szCs w:val="21"/>
              </w:rPr>
            </w:pPr>
            <w:r>
              <w:rPr>
                <w:rFonts w:hint="eastAsia" w:ascii="宋体" w:hAnsi="宋体" w:cs="宋体"/>
                <w:b/>
                <w:szCs w:val="21"/>
              </w:rPr>
              <w:t xml:space="preserve">realizable k-ε </w:t>
            </w:r>
            <w:r>
              <w:rPr>
                <w:rFonts w:hint="eastAsia" w:ascii="宋体" w:hAnsi="宋体" w:cs="宋体"/>
                <w:b/>
                <w:color w:val="333333"/>
                <w:szCs w:val="21"/>
              </w:rPr>
              <w:t>模型</w:t>
            </w:r>
          </w:p>
        </w:tc>
        <w:tc>
          <w:tcPr>
            <w:tcW w:w="6760" w:type="dxa"/>
            <w:tcBorders>
              <w:top w:val="nil"/>
              <w:left w:val="nil"/>
              <w:bottom w:val="single" w:color="auto" w:sz="4" w:space="0"/>
              <w:right w:val="single" w:color="auto" w:sz="4" w:space="0"/>
            </w:tcBorders>
            <w:vAlign w:val="center"/>
          </w:tcPr>
          <w:p>
            <w:pPr>
              <w:rPr>
                <w:rFonts w:ascii="宋体" w:hAnsi="宋体" w:cs="宋体"/>
                <w:szCs w:val="21"/>
              </w:rPr>
            </w:pPr>
            <w:r>
              <w:rPr>
                <w:rFonts w:hint="eastAsia" w:ascii="宋体" w:hAnsi="宋体" w:cs="宋体"/>
                <w:szCs w:val="21"/>
              </w:rPr>
              <w:t>旋转流动、强逆压梯度的边界层流动、流动分离和二次流，类似于RNG。</w:t>
            </w:r>
          </w:p>
        </w:tc>
      </w:tr>
    </w:tbl>
    <w:p>
      <w:pPr>
        <w:pStyle w:val="4"/>
        <w:numPr>
          <w:ilvl w:val="1"/>
          <w:numId w:val="3"/>
        </w:numPr>
      </w:pPr>
      <w:bookmarkStart w:id="50" w:name="_Toc452108767"/>
      <w:bookmarkStart w:id="51" w:name="_Toc451698939"/>
      <w:bookmarkStart w:id="52" w:name="_Toc9928"/>
      <w:r>
        <w:rPr>
          <w:rFonts w:hint="eastAsia"/>
        </w:rPr>
        <w:t>求解计算</w:t>
      </w:r>
      <w:bookmarkEnd w:id="50"/>
      <w:bookmarkEnd w:id="51"/>
      <w:bookmarkEnd w:id="52"/>
    </w:p>
    <w:p>
      <w:pPr>
        <w:pStyle w:val="3"/>
        <w:numPr>
          <w:ilvl w:val="0"/>
          <w:numId w:val="6"/>
        </w:numPr>
        <w:ind w:firstLineChars="0"/>
        <w:rPr>
          <w:b/>
          <w:lang w:val="en-US"/>
        </w:rPr>
      </w:pPr>
      <w:r>
        <w:rPr>
          <w:rFonts w:hint="eastAsia"/>
          <w:b/>
          <w:lang w:val="en-US"/>
        </w:rPr>
        <w:t>数学模型</w:t>
      </w:r>
    </w:p>
    <w:p>
      <w:pPr>
        <w:pStyle w:val="3"/>
        <w:ind w:firstLine="420"/>
        <w:rPr>
          <w:lang w:val="en-US"/>
        </w:rPr>
      </w:pPr>
      <w:r>
        <w:rPr>
          <w:rFonts w:hint="eastAsia"/>
          <w:lang w:val="en-US"/>
        </w:rPr>
        <w:t>本项目采用CFD（计算流体力学）方法对风场进行求解，即在所分析的计算域内建立流体流动的质量守恒、动量守恒和能量守恒建立数学控制方程，其一般形式如下所示：</w:t>
      </w:r>
    </w:p>
    <w:p>
      <w:pPr>
        <w:pStyle w:val="3"/>
        <w:ind w:firstLine="525" w:firstLineChars="250"/>
        <w:jc w:val="center"/>
        <w:rPr>
          <w:lang w:val="en-US"/>
        </w:rPr>
      </w:pPr>
      <w:r>
        <w:rPr>
          <w:lang w:val="en-US"/>
        </w:rPr>
        <w:drawing>
          <wp:inline distT="0" distB="0" distL="0" distR="0">
            <wp:extent cx="2381250" cy="400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381250" cy="400050"/>
                    </a:xfrm>
                    <a:prstGeom prst="rect">
                      <a:avLst/>
                    </a:prstGeom>
                    <a:noFill/>
                    <a:ln>
                      <a:noFill/>
                    </a:ln>
                  </pic:spPr>
                </pic:pic>
              </a:graphicData>
            </a:graphic>
          </wp:inline>
        </w:drawing>
      </w:r>
    </w:p>
    <w:p>
      <w:pPr>
        <w:pStyle w:val="3"/>
        <w:ind w:firstLine="525" w:firstLineChars="250"/>
        <w:rPr>
          <w:lang w:val="en-US"/>
        </w:rPr>
      </w:pPr>
      <w:r>
        <w:rPr>
          <w:rFonts w:hint="eastAsia"/>
          <w:lang w:val="en-US"/>
        </w:rPr>
        <w:t>该式中的φ可以是速度、湍流动能、湍流耗散率以及温度等物理量，参照下表</w:t>
      </w:r>
    </w:p>
    <w:p>
      <w:pPr>
        <w:pStyle w:val="3"/>
        <w:ind w:firstLine="0" w:firstLineChars="0"/>
        <w:jc w:val="center"/>
        <w:rPr>
          <w:rFonts w:ascii="黑体" w:hAnsi="黑体" w:eastAsia="黑体"/>
          <w:sz w:val="20"/>
          <w:szCs w:val="20"/>
        </w:rPr>
      </w:pPr>
      <w:bookmarkStart w:id="53" w:name="_Ref237071533"/>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4.5</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bookmarkEnd w:id="53"/>
      <w:r>
        <w:rPr>
          <w:rFonts w:hint="eastAsia" w:ascii="黑体" w:hAnsi="黑体" w:eastAsia="黑体"/>
          <w:sz w:val="20"/>
          <w:szCs w:val="20"/>
        </w:rPr>
        <w:t xml:space="preserve"> </w:t>
      </w:r>
      <w:bookmarkStart w:id="54" w:name="_Ref225175618"/>
      <w:r>
        <w:rPr>
          <w:rFonts w:hint="eastAsia" w:ascii="黑体" w:hAnsi="黑体" w:eastAsia="黑体"/>
          <w:sz w:val="20"/>
          <w:szCs w:val="20"/>
        </w:rPr>
        <w:t>计算流体力学的控制方程</w:t>
      </w:r>
      <w:bookmarkEnd w:id="54"/>
    </w:p>
    <w:tbl>
      <w:tblPr>
        <w:tblStyle w:val="21"/>
        <w:tblW w:w="8820" w:type="dxa"/>
        <w:jc w:val="center"/>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008"/>
        <w:gridCol w:w="720"/>
        <w:gridCol w:w="1476"/>
        <w:gridCol w:w="5616"/>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blHeader/>
          <w:jc w:val="center"/>
        </w:trPr>
        <w:tc>
          <w:tcPr>
            <w:tcW w:w="1008" w:type="dxa"/>
            <w:tcBorders>
              <w:top w:val="single" w:color="auto" w:sz="4" w:space="0"/>
              <w:left w:val="single" w:color="auto" w:sz="4" w:space="0"/>
              <w:bottom w:val="single" w:color="auto" w:sz="6" w:space="0"/>
              <w:right w:val="single" w:color="auto" w:sz="6" w:space="0"/>
            </w:tcBorders>
            <w:shd w:val="clear" w:color="auto" w:fill="C0C0C0"/>
            <w:vAlign w:val="center"/>
          </w:tcPr>
          <w:p>
            <w:pPr>
              <w:widowControl w:val="0"/>
              <w:jc w:val="both"/>
              <w:rPr>
                <w:rFonts w:cs="Calibri"/>
                <w:b/>
                <w:bCs/>
                <w:kern w:val="2"/>
                <w:szCs w:val="24"/>
              </w:rPr>
            </w:pPr>
            <w:r>
              <w:rPr>
                <w:rFonts w:hint="eastAsia"/>
                <w:b/>
                <w:bCs/>
                <w:szCs w:val="24"/>
              </w:rPr>
              <w:t>名称</w:t>
            </w:r>
          </w:p>
        </w:tc>
        <w:tc>
          <w:tcPr>
            <w:tcW w:w="720" w:type="dxa"/>
            <w:tcBorders>
              <w:top w:val="single" w:color="auto" w:sz="4" w:space="0"/>
              <w:left w:val="single" w:color="auto" w:sz="6" w:space="0"/>
              <w:bottom w:val="single" w:color="auto" w:sz="6" w:space="0"/>
              <w:right w:val="single" w:color="auto" w:sz="6" w:space="0"/>
            </w:tcBorders>
            <w:shd w:val="clear" w:color="auto" w:fill="C0C0C0"/>
            <w:vAlign w:val="center"/>
          </w:tcPr>
          <w:p>
            <w:pPr>
              <w:widowControl w:val="0"/>
              <w:jc w:val="both"/>
              <w:rPr>
                <w:rFonts w:cs="Calibri"/>
                <w:b/>
                <w:bCs/>
                <w:kern w:val="2"/>
                <w:szCs w:val="24"/>
              </w:rPr>
            </w:pPr>
            <w:r>
              <w:rPr>
                <w:rFonts w:hint="eastAsia"/>
                <w:b/>
                <w:bCs/>
                <w:szCs w:val="24"/>
              </w:rPr>
              <w:t>变量</w:t>
            </w:r>
          </w:p>
        </w:tc>
        <w:tc>
          <w:tcPr>
            <w:tcW w:w="1476" w:type="dxa"/>
            <w:tcBorders>
              <w:top w:val="single" w:color="auto" w:sz="4" w:space="0"/>
              <w:left w:val="single" w:color="auto" w:sz="6" w:space="0"/>
              <w:bottom w:val="single" w:color="auto" w:sz="6" w:space="0"/>
              <w:right w:val="single" w:color="auto" w:sz="6" w:space="0"/>
            </w:tcBorders>
            <w:shd w:val="clear" w:color="auto" w:fill="C0C0C0"/>
            <w:vAlign w:val="center"/>
          </w:tcPr>
          <w:p>
            <w:pPr>
              <w:widowControl w:val="0"/>
              <w:jc w:val="both"/>
              <w:rPr>
                <w:rFonts w:cs="Calibri"/>
                <w:kern w:val="2"/>
                <w:szCs w:val="24"/>
              </w:rPr>
            </w:pPr>
            <w:r>
              <w:rPr>
                <w:position w:val="-14"/>
                <w:szCs w:val="24"/>
                <w:lang w:val="en-US"/>
              </w:rPr>
              <w:drawing>
                <wp:inline distT="0" distB="0" distL="0" distR="0">
                  <wp:extent cx="180975" cy="238125"/>
                  <wp:effectExtent l="0" t="0" r="952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80975" cy="238125"/>
                          </a:xfrm>
                          <a:prstGeom prst="rect">
                            <a:avLst/>
                          </a:prstGeom>
                          <a:noFill/>
                          <a:ln>
                            <a:noFill/>
                          </a:ln>
                        </pic:spPr>
                      </pic:pic>
                    </a:graphicData>
                  </a:graphic>
                </wp:inline>
              </w:drawing>
            </w:r>
          </w:p>
        </w:tc>
        <w:tc>
          <w:tcPr>
            <w:tcW w:w="5616" w:type="dxa"/>
            <w:tcBorders>
              <w:top w:val="single" w:color="auto" w:sz="4" w:space="0"/>
              <w:left w:val="single" w:color="auto" w:sz="6" w:space="0"/>
              <w:bottom w:val="single" w:color="auto" w:sz="6" w:space="0"/>
              <w:right w:val="single" w:color="auto" w:sz="4" w:space="0"/>
            </w:tcBorders>
            <w:shd w:val="clear" w:color="auto" w:fill="C0C0C0"/>
            <w:vAlign w:val="center"/>
          </w:tcPr>
          <w:p>
            <w:pPr>
              <w:widowControl w:val="0"/>
              <w:jc w:val="both"/>
              <w:rPr>
                <w:rFonts w:cs="Calibri"/>
                <w:kern w:val="2"/>
                <w:szCs w:val="24"/>
              </w:rPr>
            </w:pPr>
            <w:r>
              <w:rPr>
                <w:position w:val="-14"/>
                <w:szCs w:val="24"/>
                <w:lang w:val="en-US"/>
              </w:rPr>
              <w:drawing>
                <wp:inline distT="0" distB="0" distL="0" distR="0">
                  <wp:extent cx="190500" cy="238125"/>
                  <wp:effectExtent l="0" t="0" r="0" b="952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90500" cy="2381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08" w:type="dxa"/>
            <w:tcBorders>
              <w:top w:val="single" w:color="auto" w:sz="6" w:space="0"/>
              <w:left w:val="single" w:color="auto" w:sz="4" w:space="0"/>
              <w:bottom w:val="single" w:color="auto" w:sz="6" w:space="0"/>
              <w:right w:val="single" w:color="auto" w:sz="6" w:space="0"/>
            </w:tcBorders>
            <w:vAlign w:val="center"/>
          </w:tcPr>
          <w:p>
            <w:pPr>
              <w:widowControl w:val="0"/>
              <w:jc w:val="both"/>
              <w:rPr>
                <w:rFonts w:cs="Calibri"/>
                <w:kern w:val="2"/>
                <w:szCs w:val="24"/>
              </w:rPr>
            </w:pPr>
            <w:r>
              <w:rPr>
                <w:rFonts w:hint="eastAsia"/>
                <w:szCs w:val="24"/>
              </w:rPr>
              <w:t>连续性方程</w:t>
            </w:r>
          </w:p>
        </w:tc>
        <w:tc>
          <w:tcPr>
            <w:tcW w:w="720" w:type="dxa"/>
            <w:tcBorders>
              <w:top w:val="single" w:color="auto" w:sz="6" w:space="0"/>
              <w:left w:val="single" w:color="auto" w:sz="6" w:space="0"/>
              <w:bottom w:val="single" w:color="auto" w:sz="6" w:space="0"/>
              <w:right w:val="single" w:color="auto" w:sz="6" w:space="0"/>
            </w:tcBorders>
            <w:vAlign w:val="center"/>
          </w:tcPr>
          <w:p>
            <w:pPr>
              <w:widowControl w:val="0"/>
              <w:jc w:val="both"/>
              <w:rPr>
                <w:rFonts w:cs="Calibri"/>
                <w:kern w:val="2"/>
                <w:szCs w:val="24"/>
              </w:rPr>
            </w:pPr>
            <w:r>
              <w:rPr>
                <w:szCs w:val="24"/>
              </w:rPr>
              <w:t>1</w:t>
            </w:r>
          </w:p>
        </w:tc>
        <w:tc>
          <w:tcPr>
            <w:tcW w:w="1476" w:type="dxa"/>
            <w:tcBorders>
              <w:top w:val="single" w:color="auto" w:sz="6" w:space="0"/>
              <w:left w:val="single" w:color="auto" w:sz="6" w:space="0"/>
              <w:bottom w:val="single" w:color="auto" w:sz="6" w:space="0"/>
              <w:right w:val="single" w:color="auto" w:sz="6" w:space="0"/>
            </w:tcBorders>
            <w:vAlign w:val="center"/>
          </w:tcPr>
          <w:p>
            <w:pPr>
              <w:widowControl w:val="0"/>
              <w:jc w:val="both"/>
              <w:rPr>
                <w:rFonts w:cs="Calibri"/>
                <w:kern w:val="2"/>
                <w:szCs w:val="24"/>
              </w:rPr>
            </w:pPr>
            <w:r>
              <w:rPr>
                <w:szCs w:val="24"/>
              </w:rPr>
              <w:t>0</w:t>
            </w:r>
          </w:p>
        </w:tc>
        <w:tc>
          <w:tcPr>
            <w:tcW w:w="5616" w:type="dxa"/>
            <w:tcBorders>
              <w:top w:val="single" w:color="auto" w:sz="6" w:space="0"/>
              <w:left w:val="single" w:color="auto" w:sz="6" w:space="0"/>
              <w:bottom w:val="single" w:color="auto" w:sz="6" w:space="0"/>
              <w:right w:val="single" w:color="auto" w:sz="4" w:space="0"/>
            </w:tcBorders>
            <w:vAlign w:val="center"/>
          </w:tcPr>
          <w:p>
            <w:pPr>
              <w:widowControl w:val="0"/>
              <w:jc w:val="both"/>
              <w:rPr>
                <w:rFonts w:cs="Calibri"/>
                <w:kern w:val="2"/>
                <w:szCs w:val="24"/>
              </w:rPr>
            </w:pPr>
            <w:r>
              <w:rPr>
                <w:szCs w:val="24"/>
              </w:rPr>
              <w:t>0</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08" w:type="dxa"/>
            <w:tcBorders>
              <w:top w:val="single" w:color="auto" w:sz="6" w:space="0"/>
              <w:left w:val="single" w:color="auto" w:sz="4" w:space="0"/>
              <w:bottom w:val="single" w:color="auto" w:sz="6" w:space="0"/>
              <w:right w:val="single" w:color="auto" w:sz="6" w:space="0"/>
            </w:tcBorders>
            <w:vAlign w:val="center"/>
          </w:tcPr>
          <w:p>
            <w:pPr>
              <w:widowControl w:val="0"/>
              <w:jc w:val="both"/>
              <w:rPr>
                <w:rFonts w:cs="Calibri"/>
                <w:kern w:val="2"/>
                <w:szCs w:val="24"/>
              </w:rPr>
            </w:pPr>
            <w:r>
              <w:rPr>
                <w:szCs w:val="24"/>
              </w:rPr>
              <w:t xml:space="preserve">x </w:t>
            </w:r>
            <w:r>
              <w:rPr>
                <w:rFonts w:hint="eastAsia"/>
                <w:szCs w:val="24"/>
              </w:rPr>
              <w:t>速度</w:t>
            </w:r>
          </w:p>
        </w:tc>
        <w:tc>
          <w:tcPr>
            <w:tcW w:w="720"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23825" cy="142875"/>
                  <wp:effectExtent l="0" t="0" r="9525" b="952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733425" cy="219075"/>
                  <wp:effectExtent l="0" t="0" r="9525" b="952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733425" cy="21907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pPr>
              <w:widowControl w:val="0"/>
              <w:spacing w:line="480" w:lineRule="auto"/>
              <w:jc w:val="both"/>
              <w:rPr>
                <w:rFonts w:cs="Calibri"/>
                <w:color w:val="000000"/>
                <w:kern w:val="2"/>
                <w:sz w:val="24"/>
                <w:szCs w:val="24"/>
              </w:rPr>
            </w:pPr>
            <w:r>
              <w:rPr>
                <w:color w:val="000000"/>
                <w:position w:val="-28"/>
                <w:sz w:val="24"/>
                <w:szCs w:val="24"/>
                <w:lang w:val="en-US"/>
              </w:rPr>
              <w:drawing>
                <wp:inline distT="0" distB="0" distL="0" distR="0">
                  <wp:extent cx="3076575" cy="428625"/>
                  <wp:effectExtent l="0" t="0" r="9525" b="952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076575" cy="4286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08" w:type="dxa"/>
            <w:tcBorders>
              <w:top w:val="single" w:color="auto" w:sz="6" w:space="0"/>
              <w:left w:val="single" w:color="auto" w:sz="4" w:space="0"/>
              <w:bottom w:val="single" w:color="auto" w:sz="6" w:space="0"/>
              <w:right w:val="single" w:color="auto" w:sz="6" w:space="0"/>
            </w:tcBorders>
            <w:vAlign w:val="center"/>
          </w:tcPr>
          <w:p>
            <w:pPr>
              <w:widowControl w:val="0"/>
              <w:jc w:val="both"/>
              <w:rPr>
                <w:rFonts w:cs="Calibri"/>
                <w:kern w:val="2"/>
                <w:szCs w:val="24"/>
              </w:rPr>
            </w:pPr>
            <w:r>
              <w:rPr>
                <w:szCs w:val="24"/>
              </w:rPr>
              <w:t xml:space="preserve">y </w:t>
            </w:r>
            <w:r>
              <w:rPr>
                <w:rFonts w:hint="eastAsia"/>
                <w:szCs w:val="24"/>
              </w:rPr>
              <w:t>速度</w:t>
            </w:r>
          </w:p>
        </w:tc>
        <w:tc>
          <w:tcPr>
            <w:tcW w:w="720"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14300" cy="142875"/>
                  <wp:effectExtent l="0" t="0" r="0" b="952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14300" cy="1428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714375" cy="219075"/>
                  <wp:effectExtent l="0" t="0" r="9525" b="952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714375" cy="21907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pPr>
              <w:widowControl w:val="0"/>
              <w:spacing w:line="480" w:lineRule="auto"/>
              <w:jc w:val="both"/>
              <w:rPr>
                <w:rFonts w:cs="Calibri"/>
                <w:color w:val="000000"/>
                <w:kern w:val="2"/>
                <w:sz w:val="24"/>
                <w:szCs w:val="24"/>
              </w:rPr>
            </w:pPr>
            <w:r>
              <w:rPr>
                <w:color w:val="000000"/>
                <w:position w:val="-30"/>
                <w:sz w:val="24"/>
                <w:szCs w:val="24"/>
                <w:lang w:val="en-US"/>
              </w:rPr>
              <w:drawing>
                <wp:inline distT="0" distB="0" distL="0" distR="0">
                  <wp:extent cx="3086100" cy="457200"/>
                  <wp:effectExtent l="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086100" cy="4572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08" w:type="dxa"/>
            <w:tcBorders>
              <w:top w:val="single" w:color="auto" w:sz="6" w:space="0"/>
              <w:left w:val="single" w:color="auto" w:sz="4" w:space="0"/>
              <w:bottom w:val="single" w:color="auto" w:sz="6" w:space="0"/>
              <w:right w:val="single" w:color="auto" w:sz="6" w:space="0"/>
            </w:tcBorders>
            <w:vAlign w:val="center"/>
          </w:tcPr>
          <w:p>
            <w:pPr>
              <w:widowControl w:val="0"/>
              <w:jc w:val="both"/>
              <w:rPr>
                <w:rFonts w:cs="Calibri"/>
                <w:kern w:val="2"/>
                <w:szCs w:val="24"/>
              </w:rPr>
            </w:pPr>
            <w:r>
              <w:rPr>
                <w:szCs w:val="24"/>
              </w:rPr>
              <w:t xml:space="preserve">z </w:t>
            </w:r>
            <w:r>
              <w:rPr>
                <w:rFonts w:hint="eastAsia"/>
                <w:szCs w:val="24"/>
              </w:rPr>
              <w:t>速度</w:t>
            </w:r>
          </w:p>
        </w:tc>
        <w:tc>
          <w:tcPr>
            <w:tcW w:w="720"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71450" cy="114300"/>
                  <wp:effectExtent l="0" t="0" r="0" b="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71450" cy="114300"/>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714375" cy="219075"/>
                  <wp:effectExtent l="0" t="0" r="9525" b="952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714375" cy="21907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pPr>
              <w:widowControl w:val="0"/>
              <w:spacing w:line="480" w:lineRule="auto"/>
              <w:jc w:val="both"/>
              <w:rPr>
                <w:rFonts w:cs="Calibri"/>
                <w:color w:val="000000"/>
                <w:kern w:val="2"/>
                <w:sz w:val="24"/>
                <w:szCs w:val="24"/>
              </w:rPr>
            </w:pPr>
            <w:r>
              <w:rPr>
                <w:color w:val="000000"/>
                <w:position w:val="-28"/>
                <w:sz w:val="24"/>
                <w:szCs w:val="24"/>
                <w:lang w:val="en-US"/>
              </w:rPr>
              <w:drawing>
                <wp:inline distT="0" distB="0" distL="0" distR="0">
                  <wp:extent cx="3390900" cy="428625"/>
                  <wp:effectExtent l="0" t="0" r="0" b="952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390900" cy="4286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08" w:type="dxa"/>
            <w:tcBorders>
              <w:top w:val="single" w:color="auto" w:sz="6" w:space="0"/>
              <w:left w:val="single" w:color="auto" w:sz="4" w:space="0"/>
              <w:bottom w:val="single" w:color="auto" w:sz="6" w:space="0"/>
              <w:right w:val="single" w:color="auto" w:sz="6" w:space="0"/>
            </w:tcBorders>
            <w:vAlign w:val="center"/>
          </w:tcPr>
          <w:p>
            <w:pPr>
              <w:rPr>
                <w:rFonts w:cs="Calibri"/>
                <w:kern w:val="2"/>
                <w:szCs w:val="24"/>
              </w:rPr>
            </w:pPr>
            <w:r>
              <w:rPr>
                <w:rFonts w:hint="eastAsia"/>
                <w:szCs w:val="24"/>
              </w:rPr>
              <w:t>湍流</w:t>
            </w:r>
          </w:p>
          <w:p>
            <w:pPr>
              <w:widowControl w:val="0"/>
              <w:jc w:val="both"/>
              <w:rPr>
                <w:rFonts w:cs="Calibri"/>
                <w:kern w:val="2"/>
                <w:szCs w:val="24"/>
              </w:rPr>
            </w:pPr>
            <w:r>
              <w:rPr>
                <w:rFonts w:hint="eastAsia"/>
                <w:szCs w:val="24"/>
              </w:rPr>
              <w:t>动能</w:t>
            </w:r>
          </w:p>
        </w:tc>
        <w:tc>
          <w:tcPr>
            <w:tcW w:w="720"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23825" cy="180975"/>
                  <wp:effectExtent l="0" t="0" r="9525" b="952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23825" cy="1809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419100" cy="238125"/>
                  <wp:effectExtent l="0" t="0" r="0" b="952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19100" cy="23812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pPr>
              <w:widowControl w:val="0"/>
              <w:spacing w:line="480" w:lineRule="auto"/>
              <w:jc w:val="both"/>
              <w:rPr>
                <w:rFonts w:cs="Calibri"/>
                <w:color w:val="000000"/>
                <w:kern w:val="2"/>
                <w:sz w:val="24"/>
                <w:szCs w:val="24"/>
              </w:rPr>
            </w:pPr>
            <w:r>
              <w:rPr>
                <w:color w:val="000000"/>
                <w:position w:val="-12"/>
                <w:sz w:val="24"/>
                <w:szCs w:val="24"/>
                <w:lang w:val="en-US"/>
              </w:rPr>
              <w:drawing>
                <wp:inline distT="0" distB="0" distL="0" distR="0">
                  <wp:extent cx="866775" cy="228600"/>
                  <wp:effectExtent l="0" t="0" r="9525" b="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866775" cy="2286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08" w:type="dxa"/>
            <w:tcBorders>
              <w:top w:val="single" w:color="auto" w:sz="6" w:space="0"/>
              <w:left w:val="single" w:color="auto" w:sz="4" w:space="0"/>
              <w:bottom w:val="single" w:color="auto" w:sz="6" w:space="0"/>
              <w:right w:val="single" w:color="auto" w:sz="6" w:space="0"/>
            </w:tcBorders>
            <w:vAlign w:val="center"/>
          </w:tcPr>
          <w:p>
            <w:pPr>
              <w:rPr>
                <w:rFonts w:cs="Calibri"/>
                <w:kern w:val="2"/>
                <w:szCs w:val="24"/>
              </w:rPr>
            </w:pPr>
            <w:r>
              <w:rPr>
                <w:rFonts w:hint="eastAsia"/>
                <w:szCs w:val="24"/>
              </w:rPr>
              <w:t>湍流</w:t>
            </w:r>
          </w:p>
          <w:p>
            <w:pPr>
              <w:widowControl w:val="0"/>
              <w:jc w:val="both"/>
              <w:rPr>
                <w:rFonts w:cs="Calibri"/>
                <w:kern w:val="2"/>
                <w:szCs w:val="24"/>
              </w:rPr>
            </w:pPr>
            <w:r>
              <w:rPr>
                <w:rFonts w:hint="eastAsia"/>
                <w:szCs w:val="24"/>
              </w:rPr>
              <w:t>耗散</w:t>
            </w:r>
          </w:p>
        </w:tc>
        <w:tc>
          <w:tcPr>
            <w:tcW w:w="720"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23825" cy="142875"/>
                  <wp:effectExtent l="0" t="0" r="9525" b="952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409575" cy="238125"/>
                  <wp:effectExtent l="0" t="0" r="9525" b="952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09575" cy="23812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pPr>
              <w:widowControl w:val="0"/>
              <w:spacing w:line="480" w:lineRule="auto"/>
              <w:jc w:val="both"/>
              <w:rPr>
                <w:rFonts w:cs="Calibri"/>
                <w:color w:val="000000"/>
                <w:kern w:val="2"/>
                <w:sz w:val="24"/>
                <w:szCs w:val="24"/>
              </w:rPr>
            </w:pPr>
            <w:r>
              <w:rPr>
                <w:color w:val="000000"/>
                <w:position w:val="-24"/>
                <w:sz w:val="24"/>
                <w:szCs w:val="24"/>
                <w:lang w:val="en-US"/>
              </w:rPr>
              <w:drawing>
                <wp:inline distT="0" distB="0" distL="0" distR="0">
                  <wp:extent cx="2171700" cy="419100"/>
                  <wp:effectExtent l="0" t="0" r="0" b="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171700" cy="4191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08" w:type="dxa"/>
            <w:tcBorders>
              <w:top w:val="single" w:color="auto" w:sz="6" w:space="0"/>
              <w:left w:val="single" w:color="auto" w:sz="4" w:space="0"/>
              <w:bottom w:val="single" w:color="auto" w:sz="4" w:space="0"/>
              <w:right w:val="single" w:color="auto" w:sz="6" w:space="0"/>
            </w:tcBorders>
            <w:vAlign w:val="center"/>
          </w:tcPr>
          <w:p>
            <w:pPr>
              <w:widowControl w:val="0"/>
              <w:jc w:val="both"/>
              <w:rPr>
                <w:rFonts w:cs="Calibri"/>
                <w:kern w:val="2"/>
                <w:szCs w:val="24"/>
              </w:rPr>
            </w:pPr>
            <w:r>
              <w:rPr>
                <w:rFonts w:hint="eastAsia"/>
                <w:szCs w:val="24"/>
              </w:rPr>
              <w:t>温度</w:t>
            </w:r>
          </w:p>
        </w:tc>
        <w:tc>
          <w:tcPr>
            <w:tcW w:w="720" w:type="dxa"/>
            <w:tcBorders>
              <w:top w:val="single" w:color="auto" w:sz="6" w:space="0"/>
              <w:left w:val="single" w:color="auto" w:sz="6" w:space="0"/>
              <w:bottom w:val="single" w:color="auto" w:sz="4"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4"/>
                <w:sz w:val="24"/>
                <w:szCs w:val="24"/>
                <w:lang w:val="en-US"/>
              </w:rPr>
              <w:drawing>
                <wp:inline distT="0" distB="0" distL="0" distR="0">
                  <wp:extent cx="142875" cy="161925"/>
                  <wp:effectExtent l="0" t="0" r="9525" b="9525"/>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2875" cy="16192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4" w:space="0"/>
              <w:right w:val="single" w:color="auto" w:sz="6" w:space="0"/>
            </w:tcBorders>
            <w:vAlign w:val="center"/>
          </w:tcPr>
          <w:p>
            <w:pPr>
              <w:widowControl w:val="0"/>
              <w:spacing w:line="480" w:lineRule="auto"/>
              <w:jc w:val="both"/>
              <w:rPr>
                <w:rFonts w:cs="Calibri"/>
                <w:color w:val="000000"/>
                <w:kern w:val="2"/>
                <w:sz w:val="24"/>
                <w:szCs w:val="24"/>
              </w:rPr>
            </w:pPr>
            <w:r>
              <w:rPr>
                <w:color w:val="000000"/>
                <w:position w:val="-30"/>
                <w:sz w:val="24"/>
                <w:szCs w:val="24"/>
                <w:lang w:val="en-US"/>
              </w:rPr>
              <w:drawing>
                <wp:inline distT="0" distB="0" distL="0" distR="0">
                  <wp:extent cx="542925" cy="428625"/>
                  <wp:effectExtent l="0" t="0" r="0" b="9525"/>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2925" cy="42862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4" w:space="0"/>
              <w:right w:val="single" w:color="auto" w:sz="4" w:space="0"/>
            </w:tcBorders>
            <w:vAlign w:val="center"/>
          </w:tcPr>
          <w:p>
            <w:pPr>
              <w:widowControl w:val="0"/>
              <w:spacing w:line="480" w:lineRule="auto"/>
              <w:jc w:val="both"/>
              <w:rPr>
                <w:rFonts w:cs="Calibri"/>
                <w:color w:val="000000"/>
                <w:kern w:val="2"/>
                <w:sz w:val="24"/>
                <w:szCs w:val="24"/>
              </w:rPr>
            </w:pPr>
            <w:r>
              <w:rPr>
                <w:color w:val="000000"/>
                <w:position w:val="-10"/>
                <w:sz w:val="24"/>
                <w:szCs w:val="24"/>
                <w:lang w:val="en-US"/>
              </w:rPr>
              <w:drawing>
                <wp:inline distT="0" distB="0" distL="0" distR="0">
                  <wp:extent cx="190500" cy="219075"/>
                  <wp:effectExtent l="0" t="0" r="0" b="9525"/>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90500" cy="219075"/>
                          </a:xfrm>
                          <a:prstGeom prst="rect">
                            <a:avLst/>
                          </a:prstGeom>
                          <a:noFill/>
                          <a:ln>
                            <a:noFill/>
                          </a:ln>
                        </pic:spPr>
                      </pic:pic>
                    </a:graphicData>
                  </a:graphic>
                </wp:inline>
              </w:drawing>
            </w:r>
          </w:p>
        </w:tc>
      </w:tr>
    </w:tbl>
    <w:p>
      <w:pPr>
        <w:pStyle w:val="3"/>
        <w:ind w:firstLine="525" w:firstLineChars="250"/>
        <w:rPr>
          <w:lang w:val="en-US"/>
        </w:rPr>
      </w:pPr>
      <w:r>
        <w:rPr>
          <w:rFonts w:hint="eastAsia"/>
          <w:lang w:val="en-US"/>
        </w:rPr>
        <w:t>上表中的常数如下：</w:t>
      </w:r>
    </w:p>
    <w:p>
      <w:pPr>
        <w:pStyle w:val="3"/>
        <w:ind w:firstLine="525" w:firstLineChars="250"/>
        <w:rPr>
          <w:lang w:val="en-US"/>
        </w:rPr>
      </w:pPr>
      <w:r>
        <w:rPr>
          <w:lang w:val="en-US"/>
        </w:rPr>
        <w:drawing>
          <wp:inline distT="0" distB="0" distL="0" distR="0">
            <wp:extent cx="657225" cy="238125"/>
            <wp:effectExtent l="0" t="0" r="9525" b="9525"/>
            <wp:docPr id="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57225" cy="2381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809625" cy="276225"/>
            <wp:effectExtent l="0" t="0" r="9525" b="9525"/>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809625" cy="2762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1266825" cy="504825"/>
            <wp:effectExtent l="0" t="0" r="9525" b="9525"/>
            <wp:docPr id="2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266825" cy="5048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1076325" cy="428625"/>
            <wp:effectExtent l="0" t="0" r="9525" b="9525"/>
            <wp:docPr id="2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076325" cy="4286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838200" cy="419100"/>
            <wp:effectExtent l="0" t="0" r="0" b="0"/>
            <wp:docPr id="3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838200" cy="4191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809625" cy="238125"/>
            <wp:effectExtent l="0" t="0" r="9525" b="9525"/>
            <wp:docPr id="3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809625" cy="2381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47700" cy="228600"/>
            <wp:effectExtent l="0" t="0" r="0" b="0"/>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47700" cy="2286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85800" cy="228600"/>
            <wp:effectExtent l="0" t="0" r="0" b="0"/>
            <wp:docPr id="3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685800" cy="2286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1371600" cy="504825"/>
            <wp:effectExtent l="0" t="0" r="0" b="9525"/>
            <wp:docPr id="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71600" cy="5048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47700" cy="219075"/>
            <wp:effectExtent l="0" t="0" r="0" b="9525"/>
            <wp:docPr id="3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47700" cy="21907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581025" cy="228600"/>
            <wp:effectExtent l="0" t="0" r="9525" b="0"/>
            <wp:docPr id="3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81025" cy="228600"/>
                    </a:xfrm>
                    <a:prstGeom prst="rect">
                      <a:avLst/>
                    </a:prstGeom>
                    <a:noFill/>
                    <a:ln>
                      <a:noFill/>
                    </a:ln>
                  </pic:spPr>
                </pic:pic>
              </a:graphicData>
            </a:graphic>
          </wp:inline>
        </w:drawing>
      </w:r>
      <w:r>
        <w:rPr>
          <w:rFonts w:hint="eastAsia"/>
          <w:lang w:val="en-US"/>
        </w:rPr>
        <w:t>，</w:t>
      </w:r>
      <w:r>
        <w:rPr>
          <w:lang w:val="en-US"/>
        </w:rPr>
        <w:drawing>
          <wp:inline distT="0" distB="0" distL="0" distR="0">
            <wp:extent cx="533400" cy="228600"/>
            <wp:effectExtent l="0" t="0" r="0" b="0"/>
            <wp:docPr id="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33400" cy="228600"/>
                    </a:xfrm>
                    <a:prstGeom prst="rect">
                      <a:avLst/>
                    </a:prstGeom>
                    <a:noFill/>
                    <a:ln>
                      <a:noFill/>
                    </a:ln>
                  </pic:spPr>
                </pic:pic>
              </a:graphicData>
            </a:graphic>
          </wp:inline>
        </w:drawing>
      </w:r>
      <w:r>
        <w:rPr>
          <w:lang w:val="en-US"/>
        </w:rPr>
        <w:t xml:space="preserve"> </w:t>
      </w:r>
      <w:r>
        <w:rPr>
          <w:rFonts w:hint="eastAsia"/>
          <w:lang w:val="en-US"/>
        </w:rPr>
        <w:t>由</w:t>
      </w:r>
      <w:r>
        <w:rPr>
          <w:lang w:val="en-US"/>
        </w:rPr>
        <w:t xml:space="preserve"> </w:t>
      </w:r>
      <w:r>
        <w:rPr>
          <w:lang w:val="en-US"/>
        </w:rPr>
        <w:drawing>
          <wp:inline distT="0" distB="0" distL="0" distR="0">
            <wp:extent cx="2590800" cy="504825"/>
            <wp:effectExtent l="0" t="0" r="0" b="9525"/>
            <wp:docPr id="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590800" cy="504825"/>
                    </a:xfrm>
                    <a:prstGeom prst="rect">
                      <a:avLst/>
                    </a:prstGeom>
                    <a:noFill/>
                    <a:ln>
                      <a:noFill/>
                    </a:ln>
                  </pic:spPr>
                </pic:pic>
              </a:graphicData>
            </a:graphic>
          </wp:inline>
        </w:drawing>
      </w:r>
      <w:r>
        <w:rPr>
          <w:rFonts w:hint="eastAsia"/>
          <w:lang w:val="en-US"/>
        </w:rPr>
        <w:t>计算</w:t>
      </w:r>
    </w:p>
    <w:p>
      <w:pPr>
        <w:pStyle w:val="3"/>
        <w:ind w:firstLine="525" w:firstLineChars="250"/>
        <w:rPr>
          <w:lang w:val="en-US"/>
        </w:rPr>
      </w:pPr>
      <w:r>
        <w:rPr>
          <w:rFonts w:hint="eastAsia"/>
          <w:lang w:val="en-US"/>
        </w:rPr>
        <w:t>其中</w:t>
      </w:r>
      <w:r>
        <w:rPr>
          <w:lang w:val="en-US"/>
        </w:rPr>
        <w:t xml:space="preserve"> </w:t>
      </w:r>
      <w:r>
        <w:rPr>
          <w:lang w:val="en-US"/>
        </w:rPr>
        <w:drawing>
          <wp:inline distT="0" distB="0" distL="0" distR="0">
            <wp:extent cx="542925" cy="228600"/>
            <wp:effectExtent l="0" t="0" r="9525" b="0"/>
            <wp:docPr id="3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42925" cy="228600"/>
                    </a:xfrm>
                    <a:prstGeom prst="rect">
                      <a:avLst/>
                    </a:prstGeom>
                    <a:noFill/>
                    <a:ln>
                      <a:noFill/>
                    </a:ln>
                  </pic:spPr>
                </pic:pic>
              </a:graphicData>
            </a:graphic>
          </wp:inline>
        </w:drawing>
      </w:r>
      <w:r>
        <w:rPr>
          <w:rFonts w:hint="eastAsia"/>
          <w:lang w:val="en-US"/>
        </w:rPr>
        <w:t>。如果</w:t>
      </w:r>
      <w:r>
        <w:rPr>
          <w:lang w:val="en-US"/>
        </w:rPr>
        <w:t xml:space="preserve"> </w:t>
      </w:r>
      <w:r>
        <w:rPr>
          <w:lang w:val="en-US"/>
        </w:rPr>
        <w:drawing>
          <wp:inline distT="0" distB="0" distL="0" distR="0">
            <wp:extent cx="609600" cy="238125"/>
            <wp:effectExtent l="0" t="0" r="0" b="9525"/>
            <wp:docPr id="4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09600" cy="238125"/>
                    </a:xfrm>
                    <a:prstGeom prst="rect">
                      <a:avLst/>
                    </a:prstGeom>
                    <a:noFill/>
                    <a:ln>
                      <a:noFill/>
                    </a:ln>
                  </pic:spPr>
                </pic:pic>
              </a:graphicData>
            </a:graphic>
          </wp:inline>
        </w:drawing>
      </w:r>
      <w:r>
        <w:rPr>
          <w:rFonts w:hint="eastAsia"/>
          <w:lang w:val="en-US"/>
        </w:rPr>
        <w:t>，则</w:t>
      </w:r>
      <w:r>
        <w:rPr>
          <w:lang w:val="en-US"/>
        </w:rPr>
        <w:t xml:space="preserve"> </w:t>
      </w:r>
      <w:r>
        <w:rPr>
          <w:lang w:val="en-US"/>
        </w:rPr>
        <w:drawing>
          <wp:inline distT="0" distB="0" distL="0" distR="0">
            <wp:extent cx="1028700" cy="228600"/>
            <wp:effectExtent l="0" t="0" r="0" b="0"/>
            <wp:docPr id="4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028700" cy="228600"/>
                    </a:xfrm>
                    <a:prstGeom prst="rect">
                      <a:avLst/>
                    </a:prstGeom>
                    <a:noFill/>
                    <a:ln>
                      <a:noFill/>
                    </a:ln>
                  </pic:spPr>
                </pic:pic>
              </a:graphicData>
            </a:graphic>
          </wp:inline>
        </w:drawing>
      </w:r>
    </w:p>
    <w:p>
      <w:pPr>
        <w:pStyle w:val="3"/>
        <w:ind w:firstLine="525" w:firstLineChars="250"/>
        <w:rPr>
          <w:lang w:val="en-US"/>
        </w:rPr>
      </w:pPr>
      <w:r>
        <w:rPr>
          <w:lang w:val="en-US"/>
        </w:rPr>
        <w:drawing>
          <wp:inline distT="0" distB="0" distL="0" distR="0">
            <wp:extent cx="1704975" cy="457200"/>
            <wp:effectExtent l="0" t="0" r="9525" b="0"/>
            <wp:docPr id="4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704975" cy="457200"/>
                    </a:xfrm>
                    <a:prstGeom prst="rect">
                      <a:avLst/>
                    </a:prstGeom>
                    <a:noFill/>
                    <a:ln>
                      <a:noFill/>
                    </a:ln>
                  </pic:spPr>
                </pic:pic>
              </a:graphicData>
            </a:graphic>
          </wp:inline>
        </w:drawing>
      </w:r>
      <w:r>
        <w:rPr>
          <w:rFonts w:hint="eastAsia"/>
          <w:lang w:val="en-US"/>
        </w:rPr>
        <w:t>，</w:t>
      </w:r>
      <w:r>
        <w:rPr>
          <w:lang w:val="en-US"/>
        </w:rPr>
        <w:t xml:space="preserve"> </w:t>
      </w:r>
      <w:r>
        <w:rPr>
          <w:rFonts w:hint="eastAsia"/>
          <w:lang w:val="en-US"/>
        </w:rPr>
        <w:t>其中</w:t>
      </w:r>
      <w:r>
        <w:rPr>
          <w:lang w:val="en-US"/>
        </w:rPr>
        <w:t xml:space="preserve"> </w:t>
      </w:r>
      <w:r>
        <w:rPr>
          <w:lang w:val="en-US"/>
        </w:rPr>
        <w:drawing>
          <wp:inline distT="0" distB="0" distL="0" distR="0">
            <wp:extent cx="619125" cy="200025"/>
            <wp:effectExtent l="0" t="0" r="9525" b="9525"/>
            <wp:docPr id="4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619125" cy="2000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09600" cy="228600"/>
            <wp:effectExtent l="0" t="0" r="0" b="0"/>
            <wp:docPr id="4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609600" cy="2286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47700" cy="200025"/>
            <wp:effectExtent l="0" t="0" r="0" b="9525"/>
            <wp:docPr id="4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647700" cy="200025"/>
                    </a:xfrm>
                    <a:prstGeom prst="rect">
                      <a:avLst/>
                    </a:prstGeom>
                    <a:noFill/>
                    <a:ln>
                      <a:noFill/>
                    </a:ln>
                  </pic:spPr>
                </pic:pic>
              </a:graphicData>
            </a:graphic>
          </wp:inline>
        </w:drawing>
      </w:r>
    </w:p>
    <w:p>
      <w:pPr>
        <w:pStyle w:val="3"/>
        <w:numPr>
          <w:ilvl w:val="0"/>
          <w:numId w:val="6"/>
        </w:numPr>
        <w:ind w:firstLineChars="0"/>
        <w:rPr>
          <w:b/>
          <w:lang w:val="en-US"/>
        </w:rPr>
      </w:pPr>
      <w:r>
        <w:rPr>
          <w:rFonts w:hint="eastAsia"/>
          <w:b/>
          <w:lang w:val="en-US"/>
        </w:rPr>
        <w:t>算法说明</w:t>
      </w:r>
    </w:p>
    <w:p>
      <w:pPr>
        <w:pStyle w:val="3"/>
        <w:ind w:firstLine="514" w:firstLineChars="245"/>
        <w:rPr>
          <w:lang w:val="en-US"/>
        </w:rPr>
      </w:pPr>
      <w:r>
        <w:rPr>
          <w:rFonts w:hint="eastAsia"/>
          <w:lang w:val="en-US"/>
        </w:rPr>
        <w:t>本项目采用</w:t>
      </w:r>
      <w:r>
        <w:rPr>
          <w:lang w:val="en-US"/>
        </w:rPr>
        <w:t>SIMPLE</w:t>
      </w:r>
      <w:r>
        <w:rPr>
          <w:rFonts w:hint="eastAsia"/>
          <w:lang w:val="en-US"/>
        </w:rPr>
        <w:t>算法求解</w:t>
      </w:r>
      <w:r>
        <w:rPr>
          <w:lang w:val="en-US"/>
        </w:rPr>
        <w:t>上述方程</w:t>
      </w:r>
      <w:r>
        <w:rPr>
          <w:rFonts w:hint="eastAsia"/>
          <w:lang w:val="en-US"/>
        </w:rPr>
        <w:t>组。</w:t>
      </w:r>
      <w:bookmarkEnd w:id="21"/>
    </w:p>
    <w:p>
      <w:pPr>
        <w:pStyle w:val="4"/>
      </w:pPr>
      <w:bookmarkStart w:id="55" w:name="_Toc509844747"/>
      <w:bookmarkStart w:id="56" w:name="_Toc20887"/>
      <w:r>
        <w:rPr>
          <w:rFonts w:hint="eastAsia"/>
        </w:rPr>
        <w:t>风速放大系数计算</w:t>
      </w:r>
      <w:bookmarkEnd w:id="55"/>
      <w:bookmarkEnd w:id="56"/>
    </w:p>
    <w:p>
      <w:pPr>
        <w:pStyle w:val="13"/>
        <w:ind w:left="143" w:leftChars="68" w:firstLine="420" w:firstLineChars="200"/>
        <w:rPr>
          <w:rFonts w:ascii="Times New Roman" w:hAnsi="Times New Roman" w:eastAsia="宋体"/>
          <w:sz w:val="21"/>
          <w:szCs w:val="21"/>
          <w:lang w:val="en-US"/>
        </w:rPr>
      </w:pPr>
      <w:r>
        <w:rPr>
          <w:rFonts w:hint="eastAsia" w:ascii="Times New Roman" w:hAnsi="Times New Roman" w:eastAsia="宋体"/>
          <w:sz w:val="21"/>
          <w:szCs w:val="21"/>
          <w:lang w:val="en-US"/>
        </w:rPr>
        <w:t>风速放大系数反应了高层建筑对风速的放大作用，通常指建筑物周围离地面高</w:t>
      </w:r>
      <w:r>
        <w:rPr>
          <w:rFonts w:ascii="Times New Roman" w:hAnsi="Times New Roman" w:eastAsia="宋体"/>
          <w:sz w:val="21"/>
          <w:szCs w:val="21"/>
          <w:lang w:val="en-US"/>
        </w:rPr>
        <w:t>1.5m</w:t>
      </w:r>
      <w:r>
        <w:rPr>
          <w:rFonts w:hint="eastAsia" w:ascii="Times New Roman" w:hAnsi="Times New Roman" w:eastAsia="宋体"/>
          <w:sz w:val="21"/>
          <w:szCs w:val="21"/>
          <w:lang w:val="en-US"/>
        </w:rPr>
        <w:t>处最大风速与开阔区域同高度风速之比。可采用下式平均风速随高度变化的指数函数进行风速放大系数的计算：</w:t>
      </w:r>
    </w:p>
    <w:tbl>
      <w:tblPr>
        <w:tblStyle w:val="22"/>
        <w:tblW w:w="906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30"/>
        <w:gridCol w:w="183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23" w:hRule="atLeast"/>
        </w:trPr>
        <w:tc>
          <w:tcPr>
            <w:tcW w:w="7230" w:type="dxa"/>
            <w:vMerge w:val="restart"/>
            <w:vAlign w:val="center"/>
          </w:tcPr>
          <w:p>
            <w:pPr>
              <w:pStyle w:val="3"/>
              <w:ind w:firstLine="420"/>
              <w:rPr>
                <w:lang w:val="en-US"/>
              </w:rPr>
            </w:pPr>
            <m:oMathPara>
              <m:oMathParaPr>
                <m:jc m:val="center"/>
              </m:oMathParaP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i/>
                                <w:lang w:val="en-US"/>
                              </w:rPr>
                            </m:ctrlPr>
                          </m:sSupPr>
                          <m:e>
                            <m:r>
                              <w:rPr>
                                <w:rFonts w:ascii="Cambria Math" w:hAnsi="Cambria Math"/>
                                <w:lang w:val="en-US"/>
                              </w:rPr>
                              <m:t>v</m:t>
                            </m:r>
                            <m:ctrlPr>
                              <w:rPr>
                                <w:rFonts w:ascii="Cambria Math" w:hAnsi="Cambria Math"/>
                                <w:i/>
                                <w:lang w:val="en-US"/>
                              </w:rPr>
                            </m:ctrlPr>
                          </m:e>
                          <m:sup>
                            <m:r>
                              <w:rPr>
                                <w:rFonts w:ascii="Cambria Math" w:hAnsi="Cambria Math"/>
                                <w:lang w:val="en-US"/>
                              </w:rPr>
                              <m:t>'</m:t>
                            </m:r>
                            <m:ctrlPr>
                              <w:rPr>
                                <w:rFonts w:ascii="Cambria Math" w:hAnsi="Cambria Math"/>
                                <w:i/>
                                <w:lang w:val="en-US"/>
                              </w:rPr>
                            </m:ctrlPr>
                          </m:sup>
                        </m:sSup>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v</m:t>
                                </m:r>
                                <m:ctrlPr>
                                  <w:rPr>
                                    <w:rFonts w:ascii="Cambria Math" w:hAnsi="Cambria Math"/>
                                    <w:i/>
                                    <w:lang w:val="en-US"/>
                                  </w:rPr>
                                </m:ctrlPr>
                              </m:e>
                              <m:sub>
                                <m:r>
                                  <w:rPr>
                                    <w:rFonts w:ascii="Cambria Math" w:hAnsi="Cambria Math"/>
                                    <w:lang w:val="en-US"/>
                                  </w:rPr>
                                  <m:t>1.5B</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w:rPr>
                                    <w:rFonts w:ascii="Cambria Math" w:hAnsi="Cambria Math"/>
                                    <w:lang w:val="en-US"/>
                                  </w:rPr>
                                  <m:t>v</m:t>
                                </m:r>
                                <m:ctrlPr>
                                  <w:rPr>
                                    <w:rFonts w:ascii="Cambria Math" w:hAnsi="Cambria Math"/>
                                    <w:i/>
                                    <w:lang w:val="en-US"/>
                                  </w:rPr>
                                </m:ctrlPr>
                              </m:e>
                              <m:sub>
                                <m:r>
                                  <w:rPr>
                                    <w:rFonts w:ascii="Cambria Math" w:hAnsi="Cambria Math"/>
                                    <w:lang w:val="en-US"/>
                                  </w:rPr>
                                  <m:t>1.5f</m:t>
                                </m:r>
                                <m:ctrlPr>
                                  <w:rPr>
                                    <w:rFonts w:ascii="Cambria Math" w:hAnsi="Cambria Math"/>
                                    <w:i/>
                                    <w:lang w:val="en-US"/>
                                  </w:rPr>
                                </m:ctrlPr>
                              </m:sub>
                            </m:sSub>
                            <m:ctrlPr>
                              <w:rPr>
                                <w:rFonts w:ascii="Cambria Math" w:hAnsi="Cambria Math"/>
                                <w:i/>
                                <w:lang w:val="en-US"/>
                              </w:rPr>
                            </m:ctrlPr>
                          </m:den>
                        </m:f>
                        <m:ctrlPr>
                          <w:rPr>
                            <w:rFonts w:ascii="Cambria Math" w:hAnsi="Cambria Math"/>
                            <w:lang w:val="en-US"/>
                          </w:rPr>
                        </m:ctrlPr>
                      </m:e>
                      <m:e>
                        <m:sSub>
                          <m:sSubPr>
                            <m:ctrlPr>
                              <w:rPr>
                                <w:rFonts w:ascii="Cambria Math" w:hAnsi="Cambria Math"/>
                                <w:i/>
                                <w:lang w:val="en-US"/>
                              </w:rPr>
                            </m:ctrlPr>
                          </m:sSubPr>
                          <m:e>
                            <m:r>
                              <w:rPr>
                                <w:rFonts w:ascii="Cambria Math" w:hAnsi="Cambria Math"/>
                                <w:lang w:val="en-US"/>
                              </w:rPr>
                              <m:t>v</m:t>
                            </m:r>
                            <m:ctrlPr>
                              <w:rPr>
                                <w:rFonts w:ascii="Cambria Math" w:hAnsi="Cambria Math"/>
                                <w:i/>
                                <w:lang w:val="en-US"/>
                              </w:rPr>
                            </m:ctrlPr>
                          </m:e>
                          <m:sub>
                            <m:r>
                              <w:rPr>
                                <w:rFonts w:ascii="Cambria Math" w:hAnsi="Cambria Math"/>
                                <w:lang w:val="en-US"/>
                              </w:rPr>
                              <m:t>1.5f</m:t>
                            </m:r>
                            <m:ctrlPr>
                              <w:rPr>
                                <w:rFonts w:ascii="Cambria Math" w:hAnsi="Cambria Math"/>
                                <w:i/>
                                <w:lang w:val="en-US"/>
                              </w:rPr>
                            </m:ctrlP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ctrlPr>
                              <w:rPr>
                                <w:rFonts w:ascii="Cambria Math" w:hAnsi="Cambria Math"/>
                                <w:i/>
                                <w:lang w:val="en-US"/>
                              </w:rPr>
                            </m:ctrlPr>
                          </m:e>
                          <m:sub>
                            <m:r>
                              <w:rPr>
                                <w:rFonts w:ascii="Cambria Math" w:hAnsi="Cambria Math"/>
                                <w:lang w:val="en-US"/>
                              </w:rPr>
                              <m:t>10f</m:t>
                            </m:r>
                            <m:ctrlPr>
                              <w:rPr>
                                <w:rFonts w:ascii="Cambria Math" w:hAnsi="Cambria Math"/>
                                <w:i/>
                                <w:lang w:val="en-US"/>
                              </w:rPr>
                            </m:ctrlPr>
                          </m:sub>
                        </m:sSub>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1.5</m:t>
                                    </m:r>
                                    <m:ctrlPr>
                                      <w:rPr>
                                        <w:rFonts w:ascii="Cambria Math" w:hAnsi="Cambria Math"/>
                                        <w:i/>
                                        <w:lang w:val="en-US"/>
                                      </w:rPr>
                                    </m:ctrlPr>
                                  </m:num>
                                  <m:den>
                                    <m:r>
                                      <w:rPr>
                                        <w:rFonts w:ascii="Cambria Math" w:hAnsi="Cambria Math"/>
                                        <w:lang w:val="en-US"/>
                                      </w:rPr>
                                      <m:t>10</m:t>
                                    </m:r>
                                    <m:ctrlPr>
                                      <w:rPr>
                                        <w:rFonts w:ascii="Cambria Math" w:hAnsi="Cambria Math"/>
                                        <w:i/>
                                        <w:lang w:val="en-US"/>
                                      </w:rPr>
                                    </m:ctrlPr>
                                  </m:den>
                                </m:f>
                                <m:ctrlPr>
                                  <w:rPr>
                                    <w:rFonts w:ascii="Cambria Math" w:hAnsi="Cambria Math"/>
                                    <w:i/>
                                    <w:lang w:val="en-US"/>
                                  </w:rPr>
                                </m:ctrlPr>
                              </m:e>
                            </m:d>
                            <m:ctrlPr>
                              <w:rPr>
                                <w:rFonts w:ascii="Cambria Math" w:hAnsi="Cambria Math"/>
                                <w:i/>
                                <w:lang w:val="en-US"/>
                              </w:rPr>
                            </m:ctrlPr>
                          </m:e>
                          <m:sup>
                            <m:r>
                              <w:rPr>
                                <w:rFonts w:ascii="Cambria Math" w:hAnsi="Cambria Math"/>
                                <w:lang w:val="en-US"/>
                              </w:rPr>
                              <m:t>α</m:t>
                            </m:r>
                            <m:ctrlPr>
                              <w:rPr>
                                <w:rFonts w:ascii="Cambria Math" w:hAnsi="Cambria Math"/>
                                <w:i/>
                                <w:lang w:val="en-US"/>
                              </w:rPr>
                            </m:ctrlPr>
                          </m:sup>
                        </m:sSup>
                        <m:ctrlPr>
                          <w:rPr>
                            <w:rFonts w:ascii="Cambria Math" w:hAnsi="Cambria Math"/>
                            <w:lang w:val="en-US"/>
                          </w:rPr>
                        </m:ctrlPr>
                      </m:e>
                    </m:eqArr>
                    <m:ctrlPr>
                      <w:rPr>
                        <w:rFonts w:ascii="Cambria Math" w:hAnsi="Cambria Math"/>
                        <w:lang w:val="en-US"/>
                      </w:rPr>
                    </m:ctrlPr>
                  </m:e>
                </m:d>
              </m:oMath>
            </m:oMathPara>
          </w:p>
        </w:tc>
        <w:tc>
          <w:tcPr>
            <w:tcW w:w="1832" w:type="dxa"/>
            <w:vAlign w:val="center"/>
          </w:tcPr>
          <w:p>
            <w:pPr>
              <w:jc w:val="right"/>
              <w:rPr>
                <w:lang w:val="en-US"/>
              </w:rPr>
            </w:pPr>
            <w:r>
              <w:rPr>
                <w:rFonts w:hint="eastAsia"/>
                <w:lang w:val="en-US"/>
              </w:rPr>
              <w:t>（</w:t>
            </w:r>
            <w:r>
              <w:rPr>
                <w:szCs w:val="21"/>
                <w:lang w:val="en-US"/>
              </w:rPr>
              <w:fldChar w:fldCharType="begin"/>
            </w:r>
            <w:r>
              <w:rPr>
                <w:szCs w:val="21"/>
                <w:lang w:val="en-US"/>
              </w:rPr>
              <w:instrText xml:space="preserve"> </w:instrText>
            </w:r>
            <w:r>
              <w:rPr>
                <w:rFonts w:hint="eastAsia"/>
                <w:szCs w:val="21"/>
                <w:lang w:val="en-US"/>
              </w:rPr>
              <w:instrText xml:space="preserve">STYLEREF 2 \s</w:instrText>
            </w:r>
            <w:r>
              <w:rPr>
                <w:szCs w:val="21"/>
                <w:lang w:val="en-US"/>
              </w:rPr>
              <w:instrText xml:space="preserve"> </w:instrText>
            </w:r>
            <w:r>
              <w:rPr>
                <w:szCs w:val="21"/>
                <w:lang w:val="en-US"/>
              </w:rPr>
              <w:fldChar w:fldCharType="separate"/>
            </w:r>
            <w:r>
              <w:rPr>
                <w:szCs w:val="21"/>
                <w:lang w:val="en-US"/>
              </w:rPr>
              <w:t>4.6</w:t>
            </w:r>
            <w:r>
              <w:rPr>
                <w:szCs w:val="21"/>
                <w:lang w:val="en-US"/>
              </w:rPr>
              <w:fldChar w:fldCharType="end"/>
            </w:r>
            <w:r>
              <w:rPr>
                <w:szCs w:val="21"/>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7230" w:type="dxa"/>
            <w:vMerge w:val="continue"/>
          </w:tcPr>
          <w:p>
            <w:pPr>
              <w:rPr>
                <w:lang w:val="en-US"/>
              </w:rPr>
            </w:pPr>
          </w:p>
        </w:tc>
        <w:tc>
          <w:tcPr>
            <w:tcW w:w="1832" w:type="dxa"/>
            <w:vAlign w:val="center"/>
          </w:tcPr>
          <w:p>
            <w:pPr>
              <w:jc w:val="right"/>
              <w:rPr>
                <w:lang w:val="en-US"/>
              </w:rPr>
            </w:pPr>
            <w:r>
              <w:rPr>
                <w:rFonts w:hint="eastAsia"/>
                <w:lang w:val="en-US"/>
              </w:rPr>
              <w:t>（</w:t>
            </w:r>
            <w:r>
              <w:rPr>
                <w:szCs w:val="21"/>
                <w:lang w:val="en-US"/>
              </w:rPr>
              <w:fldChar w:fldCharType="begin"/>
            </w:r>
            <w:r>
              <w:rPr>
                <w:szCs w:val="21"/>
                <w:lang w:val="en-US"/>
              </w:rPr>
              <w:instrText xml:space="preserve"> </w:instrText>
            </w:r>
            <w:r>
              <w:rPr>
                <w:rFonts w:hint="eastAsia"/>
                <w:szCs w:val="21"/>
                <w:lang w:val="en-US"/>
              </w:rPr>
              <w:instrText xml:space="preserve">STYLEREF 2 \s</w:instrText>
            </w:r>
            <w:r>
              <w:rPr>
                <w:szCs w:val="21"/>
                <w:lang w:val="en-US"/>
              </w:rPr>
              <w:instrText xml:space="preserve"> </w:instrText>
            </w:r>
            <w:r>
              <w:rPr>
                <w:szCs w:val="21"/>
                <w:lang w:val="en-US"/>
              </w:rPr>
              <w:fldChar w:fldCharType="separate"/>
            </w:r>
            <w:r>
              <w:rPr>
                <w:szCs w:val="21"/>
                <w:lang w:val="en-US"/>
              </w:rPr>
              <w:t>4.6</w:t>
            </w:r>
            <w:r>
              <w:rPr>
                <w:szCs w:val="21"/>
                <w:lang w:val="en-US"/>
              </w:rPr>
              <w:fldChar w:fldCharType="end"/>
            </w:r>
            <w:r>
              <w:rPr>
                <w:szCs w:val="21"/>
                <w:lang w:val="en-US"/>
              </w:rPr>
              <w:noBreakHyphen/>
            </w:r>
            <w:r>
              <w:rPr>
                <w:lang w:val="en-US"/>
              </w:rPr>
              <w:fldChar w:fldCharType="begin"/>
            </w:r>
            <w:r>
              <w:rPr>
                <w:lang w:val="en-US"/>
              </w:rPr>
              <w:instrText xml:space="preserve"> SEQ 式 \* ARABIC \s 2 </w:instrText>
            </w:r>
            <w:r>
              <w:rPr>
                <w:lang w:val="en-US"/>
              </w:rPr>
              <w:fldChar w:fldCharType="separate"/>
            </w:r>
            <w:r>
              <w:rPr>
                <w:lang w:val="en-US"/>
              </w:rPr>
              <w:t>2</w:t>
            </w:r>
            <w:r>
              <w:rPr>
                <w:lang w:val="en-US"/>
              </w:rPr>
              <w:fldChar w:fldCharType="end"/>
            </w:r>
            <w:r>
              <w:rPr>
                <w:rFonts w:hint="eastAsia"/>
                <w:lang w:val="en-US"/>
              </w:rPr>
              <w:t>）</w:t>
            </w:r>
          </w:p>
        </w:tc>
      </w:tr>
    </w:tbl>
    <w:p>
      <w:pPr>
        <w:pStyle w:val="3"/>
        <w:ind w:firstLine="420"/>
        <w:rPr>
          <w:lang w:val="en-US"/>
        </w:rPr>
      </w:pPr>
      <w:r>
        <w:rPr>
          <w:rFonts w:hint="eastAsia"/>
          <w:lang w:val="en-US"/>
        </w:rPr>
        <w:t>其中：</w:t>
      </w:r>
    </w:p>
    <w:p>
      <w:pPr>
        <w:pStyle w:val="3"/>
        <w:ind w:firstLine="420"/>
      </w:pPr>
      <w:r>
        <w:rPr>
          <w:position w:val="-6"/>
        </w:rPr>
        <w:object>
          <v:shape id="_x0000_i1028" o:spt="75" type="#_x0000_t75" style="height:14.4pt;width:12.5pt;" o:ole="t" filled="f" o:preferrelative="t" stroked="f" coordsize="21600,21600">
            <v:path/>
            <v:fill on="f" focussize="0,0"/>
            <v:stroke on="f" joinstyle="miter"/>
            <v:imagedata r:id="rId58" o:title=""/>
            <o:lock v:ext="edit" aspectratio="t"/>
            <w10:wrap type="none"/>
            <w10:anchorlock/>
          </v:shape>
          <o:OLEObject Type="Embed" ProgID="Equation.3" ShapeID="_x0000_i1028" DrawAspect="Content" ObjectID="_1468075728" r:id="rId57">
            <o:LockedField>false</o:LockedField>
          </o:OLEObject>
        </w:object>
      </w:r>
      <w:r>
        <w:rPr>
          <w:rFonts w:hint="eastAsia"/>
        </w:rPr>
        <w:t>——风速放大系数；</w:t>
      </w:r>
    </w:p>
    <w:p>
      <w:pPr>
        <w:pStyle w:val="3"/>
        <w:ind w:firstLine="420"/>
        <w:rPr>
          <w:lang w:val="en-US"/>
        </w:rPr>
      </w:pPr>
      <w:r>
        <w:rPr>
          <w:position w:val="-10"/>
        </w:rPr>
        <w:object>
          <v:shape id="_x0000_i1029" o:spt="75" type="#_x0000_t75" style="height:18.15pt;width:23.8pt;" o:ole="t" filled="f" o:preferrelative="t" stroked="f" coordsize="21600,21600">
            <v:path/>
            <v:fill on="f" focussize="0,0"/>
            <v:stroke on="f" joinstyle="miter"/>
            <v:imagedata r:id="rId60" o:title=""/>
            <o:lock v:ext="edit" aspectratio="t"/>
            <w10:wrap type="none"/>
            <w10:anchorlock/>
          </v:shape>
          <o:OLEObject Type="Embed" ProgID="Equation.3" ShapeID="_x0000_i1029" DrawAspect="Content" ObjectID="_1468075729" r:id="rId59">
            <o:LockedField>false</o:LockedField>
          </o:OLEObject>
        </w:object>
      </w:r>
      <w:r>
        <w:rPr>
          <w:rFonts w:hint="eastAsia"/>
        </w:rPr>
        <w:t>——</w:t>
      </w:r>
      <w:r>
        <w:rPr>
          <w:rFonts w:hint="eastAsia"/>
          <w:lang w:val="en-US"/>
        </w:rPr>
        <w:t>建筑物周围距离地面高1.5米处最大风速，该风速通过前述风速计算获取，对应1.5高度处风速云图中的数据。</w:t>
      </w:r>
    </w:p>
    <w:p>
      <w:pPr>
        <w:pStyle w:val="3"/>
        <w:ind w:firstLine="420"/>
        <w:rPr>
          <w:lang w:val="en-US"/>
        </w:rPr>
      </w:pPr>
      <w:r>
        <w:rPr>
          <w:position w:val="-14"/>
        </w:rPr>
        <w:object>
          <v:shape id="_x0000_i1030" o:spt="75" type="#_x0000_t75" style="height:20.05pt;width:23.8pt;" o:ole="t" filled="f" o:preferrelative="t" stroked="f" coordsize="21600,21600">
            <v:path/>
            <v:fill on="f" focussize="0,0"/>
            <v:stroke on="f" joinstyle="miter"/>
            <v:imagedata r:id="rId62" o:title=""/>
            <o:lock v:ext="edit" aspectratio="t"/>
            <w10:wrap type="none"/>
            <w10:anchorlock/>
          </v:shape>
          <o:OLEObject Type="Embed" ProgID="Equation.3" ShapeID="_x0000_i1030" DrawAspect="Content" ObjectID="_1468075730" r:id="rId61">
            <o:LockedField>false</o:LockedField>
          </o:OLEObject>
        </w:object>
      </w:r>
      <w:r>
        <w:rPr>
          <w:rFonts w:hint="eastAsia"/>
        </w:rPr>
        <w:t>——远离建筑的开阔区域，距离地面1.5米高度处风速</w:t>
      </w:r>
      <w:r>
        <w:rPr>
          <w:rFonts w:hint="eastAsia"/>
          <w:lang w:val="en-US"/>
        </w:rPr>
        <w:t>。</w:t>
      </w:r>
    </w:p>
    <w:p>
      <w:pPr>
        <w:pStyle w:val="3"/>
        <w:ind w:firstLine="420"/>
        <w:rPr>
          <w:lang w:val="en-US"/>
        </w:rPr>
      </w:pPr>
      <w:r>
        <w:rPr>
          <w:position w:val="-14"/>
        </w:rPr>
        <w:object>
          <v:shape id="_x0000_i1031" o:spt="75" type="#_x0000_t75" style="height:20.05pt;width:20.05pt;" o:ole="t" filled="f" o:preferrelative="t" stroked="f" coordsize="21600,21600">
            <v:path/>
            <v:fill on="f" focussize="0,0"/>
            <v:stroke on="f" joinstyle="miter"/>
            <v:imagedata r:id="rId64" o:title=""/>
            <o:lock v:ext="edit" aspectratio="t"/>
            <w10:wrap type="none"/>
            <w10:anchorlock/>
          </v:shape>
          <o:OLEObject Type="Embed" ProgID="Equation.3" ShapeID="_x0000_i1031" DrawAspect="Content" ObjectID="_1468075731" r:id="rId63">
            <o:LockedField>false</o:LockedField>
          </o:OLEObject>
        </w:object>
      </w:r>
      <w:r>
        <w:rPr>
          <w:rFonts w:hint="eastAsia"/>
        </w:rPr>
        <w:t>——远离建筑的开阔区域，距离地面10米高度处风速，此处取室外风场入口边界风速</w:t>
      </w:r>
      <w:r>
        <w:rPr>
          <w:rFonts w:hint="eastAsia"/>
          <w:lang w:val="en-US"/>
        </w:rPr>
        <w:t>。</w:t>
      </w:r>
    </w:p>
    <w:p>
      <w:pPr>
        <w:pStyle w:val="3"/>
        <w:ind w:firstLine="420"/>
        <w:rPr>
          <w:lang w:val="en-US"/>
        </w:rPr>
      </w:pPr>
      <w:r>
        <w:rPr>
          <w:i/>
          <w:lang w:val="en-US"/>
        </w:rPr>
        <w:t>a</w:t>
      </w:r>
      <w:r>
        <w:rPr>
          <w:rFonts w:hint="eastAsia"/>
          <w:lang w:val="en-US"/>
        </w:rPr>
        <w:t>——地面粗糙度指数，</w:t>
      </w:r>
      <w:r>
        <w:rPr>
          <w:lang w:val="en-US"/>
        </w:rPr>
        <w:t>本项目为</w:t>
      </w:r>
      <w:bookmarkStart w:id="57" w:name="地面粗糙度指数"/>
      <w:r>
        <w:rPr>
          <w:rFonts w:hint="eastAsia"/>
          <w:lang w:val="en-US"/>
        </w:rPr>
        <w:t>0.28</w:t>
      </w:r>
      <w:bookmarkEnd w:id="57"/>
      <w:r>
        <w:rPr>
          <w:rFonts w:hint="eastAsia"/>
          <w:lang w:val="en-US"/>
        </w:rPr>
        <w:t>；</w:t>
      </w:r>
    </w:p>
    <w:p>
      <w:pPr>
        <w:pStyle w:val="3"/>
        <w:ind w:firstLine="420"/>
        <w:rPr>
          <w:lang w:val="en-US"/>
        </w:rPr>
      </w:pPr>
    </w:p>
    <w:p>
      <w:pPr>
        <w:pStyle w:val="2"/>
        <w:sectPr>
          <w:pgSz w:w="11906" w:h="16838"/>
          <w:pgMar w:top="1440" w:right="1133" w:bottom="993" w:left="1701" w:header="794" w:footer="170" w:gutter="0"/>
          <w:cols w:space="720" w:num="1"/>
          <w:docGrid w:type="lines" w:linePitch="312" w:charSpace="0"/>
        </w:sectPr>
      </w:pPr>
    </w:p>
    <w:p>
      <w:pPr>
        <w:pStyle w:val="2"/>
      </w:pPr>
      <w:bookmarkStart w:id="58" w:name="_Toc452108768"/>
      <w:bookmarkStart w:id="59" w:name="_Toc11364"/>
      <w:r>
        <w:rPr>
          <w:rFonts w:hint="eastAsia"/>
        </w:rPr>
        <w:t>结果</w:t>
      </w:r>
      <w:r>
        <w:t>分析</w:t>
      </w:r>
      <w:bookmarkEnd w:id="58"/>
      <w:bookmarkEnd w:id="59"/>
    </w:p>
    <w:p>
      <w:pPr>
        <w:pStyle w:val="4"/>
        <w:rPr>
          <w:szCs w:val="21"/>
        </w:rPr>
      </w:pPr>
      <w:bookmarkStart w:id="60" w:name="_Toc25693"/>
      <w:r>
        <w:rPr>
          <w:rFonts w:hint="eastAsia"/>
          <w:szCs w:val="21"/>
        </w:rPr>
        <w:t>工况</w:t>
      </w:r>
      <w:r>
        <w:rPr>
          <w:szCs w:val="21"/>
        </w:rPr>
        <w:t>表</w:t>
      </w:r>
      <w:bookmarkEnd w:id="60"/>
    </w:p>
    <w:p>
      <w:pPr>
        <w:rPr>
          <w:szCs w:val="21"/>
        </w:rPr>
      </w:pPr>
      <w:r>
        <w:rPr>
          <w:rFonts w:hint="eastAsia"/>
          <w:szCs w:val="21"/>
        </w:rPr>
        <w:t>本结果基于以下几个工况进行计算：</w:t>
      </w:r>
    </w:p>
    <w:tbl>
      <w:tblPr>
        <w:tblStyle w:val="21"/>
        <w:tblW w:w="9042"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1485"/>
        <w:gridCol w:w="2633"/>
        <w:gridCol w:w="2680"/>
        <w:gridCol w:w="2244"/>
      </w:tblGrid>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485" w:type="dxa"/>
            <w:tcBorders>
              <w:top w:val="single" w:color="auto" w:sz="12" w:space="0"/>
              <w:left w:val="single" w:color="auto" w:sz="12" w:space="0"/>
              <w:bottom w:val="single" w:color="auto" w:sz="4" w:space="0"/>
              <w:right w:val="single" w:color="auto" w:sz="4" w:space="0"/>
            </w:tcBorders>
            <w:shd w:val="clear" w:color="auto" w:fill="E6E6E6"/>
          </w:tcPr>
          <w:p>
            <w:pPr>
              <w:jc w:val="center"/>
              <w:rPr>
                <w:rFonts w:ascii="Calibri" w:hAnsi="Calibri"/>
                <w:szCs w:val="21"/>
              </w:rPr>
            </w:pPr>
            <w:bookmarkStart w:id="61" w:name="计算工况表"/>
            <w:r>
              <w:rPr>
                <w:rFonts w:hint="eastAsia" w:ascii="Calibri" w:hAnsi="Calibri"/>
                <w:szCs w:val="21"/>
              </w:rPr>
              <w:t>序号</w:t>
            </w:r>
          </w:p>
        </w:tc>
        <w:tc>
          <w:tcPr>
            <w:tcW w:w="2633" w:type="dxa"/>
            <w:tcBorders>
              <w:top w:val="single" w:color="auto" w:sz="12" w:space="0"/>
              <w:left w:val="single" w:color="auto" w:sz="4" w:space="0"/>
              <w:bottom w:val="single" w:color="auto" w:sz="4" w:space="0"/>
              <w:right w:val="single" w:color="auto" w:sz="4" w:space="0"/>
            </w:tcBorders>
            <w:shd w:val="clear" w:color="auto" w:fill="E6E6E6"/>
            <w:vAlign w:val="center"/>
          </w:tcPr>
          <w:p>
            <w:pPr>
              <w:jc w:val="center"/>
              <w:rPr>
                <w:rFonts w:ascii="Calibri" w:hAnsi="Calibri"/>
                <w:szCs w:val="21"/>
              </w:rPr>
            </w:pPr>
            <w:r>
              <w:rPr>
                <w:rFonts w:hint="eastAsia" w:ascii="Calibri" w:hAnsi="Calibri"/>
                <w:szCs w:val="21"/>
              </w:rPr>
              <w:t>季节</w:t>
            </w:r>
          </w:p>
        </w:tc>
        <w:tc>
          <w:tcPr>
            <w:tcW w:w="2680" w:type="dxa"/>
            <w:tcBorders>
              <w:top w:val="single" w:color="auto" w:sz="12" w:space="0"/>
              <w:left w:val="single" w:color="auto" w:sz="4" w:space="0"/>
              <w:bottom w:val="single" w:color="auto" w:sz="4" w:space="0"/>
              <w:right w:val="single" w:color="auto" w:sz="4" w:space="0"/>
            </w:tcBorders>
            <w:shd w:val="clear" w:color="auto" w:fill="E6E6E6"/>
            <w:vAlign w:val="center"/>
          </w:tcPr>
          <w:p>
            <w:pPr>
              <w:jc w:val="center"/>
              <w:rPr>
                <w:rFonts w:ascii="Calibri" w:hAnsi="Calibri"/>
                <w:szCs w:val="21"/>
              </w:rPr>
            </w:pPr>
            <w:r>
              <w:rPr>
                <w:rFonts w:hint="eastAsia" w:ascii="Calibri" w:hAnsi="Calibri"/>
                <w:szCs w:val="21"/>
              </w:rPr>
              <w:t>风速</w:t>
            </w:r>
            <w:r>
              <w:rPr>
                <w:rFonts w:ascii="Calibri" w:hAnsi="Calibri"/>
                <w:szCs w:val="21"/>
              </w:rPr>
              <w:t>(m/s)</w:t>
            </w:r>
          </w:p>
        </w:tc>
        <w:tc>
          <w:tcPr>
            <w:tcW w:w="2244" w:type="dxa"/>
            <w:tcBorders>
              <w:top w:val="single" w:color="auto" w:sz="12" w:space="0"/>
              <w:left w:val="single" w:color="auto" w:sz="4" w:space="0"/>
              <w:bottom w:val="single" w:color="auto" w:sz="4" w:space="0"/>
              <w:right w:val="single" w:color="auto" w:sz="12" w:space="0"/>
            </w:tcBorders>
            <w:shd w:val="clear" w:color="auto" w:fill="E6E6E6"/>
          </w:tcPr>
          <w:p>
            <w:pPr>
              <w:jc w:val="center"/>
              <w:rPr>
                <w:rFonts w:ascii="Calibri" w:hAnsi="Calibri"/>
                <w:szCs w:val="21"/>
              </w:rPr>
            </w:pPr>
            <w:r>
              <w:rPr>
                <w:rFonts w:hint="eastAsia" w:ascii="Calibri" w:hAnsi="Calibri"/>
                <w:szCs w:val="21"/>
              </w:rPr>
              <w:t>风向</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485" w:type="dxa"/>
            <w:tcBorders>
              <w:top w:val="single" w:color="auto" w:sz="4" w:space="0"/>
              <w:left w:val="single" w:color="auto" w:sz="12" w:space="0"/>
              <w:bottom w:val="single" w:color="auto" w:sz="4" w:space="0"/>
              <w:right w:val="single" w:color="auto" w:sz="4" w:space="0"/>
            </w:tcBorders>
          </w:tcPr>
          <w:p>
            <w:pPr>
              <w:rPr>
                <w:rFonts w:ascii="Calibri" w:hAnsi="Calibri"/>
                <w:szCs w:val="21"/>
              </w:rPr>
            </w:pPr>
            <w:r>
              <w:rPr>
                <w:rFonts w:ascii="Calibri" w:hAnsi="Calibri"/>
                <w:szCs w:val="21"/>
              </w:rPr>
              <w:t>1</w:t>
            </w:r>
          </w:p>
        </w:tc>
        <w:tc>
          <w:tcPr>
            <w:tcW w:w="2633" w:type="dxa"/>
            <w:tcBorders>
              <w:top w:val="single" w:color="auto" w:sz="4" w:space="0"/>
              <w:left w:val="single" w:color="auto" w:sz="4" w:space="0"/>
              <w:bottom w:val="single" w:color="auto" w:sz="4" w:space="0"/>
              <w:right w:val="single" w:color="auto" w:sz="4" w:space="0"/>
            </w:tcBorders>
            <w:vAlign w:val="center"/>
          </w:tcPr>
          <w:p>
            <w:pPr>
              <w:rPr>
                <w:rFonts w:ascii="Calibri" w:hAnsi="Calibri"/>
                <w:szCs w:val="21"/>
              </w:rPr>
            </w:pPr>
            <w:r>
              <w:rPr>
                <w:rFonts w:ascii="Calibri" w:hAnsi="Calibri"/>
                <w:szCs w:val="21"/>
              </w:rPr>
              <w:t>冬季</w:t>
            </w:r>
          </w:p>
        </w:tc>
        <w:tc>
          <w:tcPr>
            <w:tcW w:w="2680" w:type="dxa"/>
            <w:tcBorders>
              <w:top w:val="single" w:color="auto" w:sz="4" w:space="0"/>
              <w:left w:val="single" w:color="auto" w:sz="4" w:space="0"/>
              <w:bottom w:val="single" w:color="auto" w:sz="4" w:space="0"/>
              <w:right w:val="single" w:color="auto" w:sz="4" w:space="0"/>
            </w:tcBorders>
            <w:vAlign w:val="center"/>
          </w:tcPr>
          <w:p>
            <w:pPr>
              <w:rPr>
                <w:rFonts w:hint="default" w:ascii="Calibri" w:hAnsi="Calibri" w:eastAsia="宋体"/>
                <w:szCs w:val="21"/>
                <w:lang w:val="en-US" w:eastAsia="zh-CN"/>
              </w:rPr>
            </w:pPr>
            <w:r>
              <w:rPr>
                <w:rFonts w:hint="eastAsia" w:ascii="Calibri" w:hAnsi="Calibri"/>
                <w:szCs w:val="21"/>
                <w:lang w:val="en-US" w:eastAsia="zh-CN"/>
              </w:rPr>
              <w:t>3.7</w:t>
            </w:r>
          </w:p>
        </w:tc>
        <w:tc>
          <w:tcPr>
            <w:tcW w:w="2244" w:type="dxa"/>
            <w:tcBorders>
              <w:top w:val="single" w:color="auto" w:sz="4" w:space="0"/>
              <w:left w:val="single" w:color="auto" w:sz="4" w:space="0"/>
              <w:bottom w:val="single" w:color="auto" w:sz="4" w:space="0"/>
              <w:right w:val="single" w:color="auto" w:sz="12" w:space="0"/>
            </w:tcBorders>
          </w:tcPr>
          <w:p>
            <w:pPr>
              <w:rPr>
                <w:rFonts w:hint="default" w:ascii="Calibri" w:hAnsi="Calibri" w:eastAsia="宋体"/>
                <w:szCs w:val="21"/>
                <w:lang w:val="en-US" w:eastAsia="zh-CN"/>
              </w:rPr>
            </w:pPr>
            <w:r>
              <w:rPr>
                <w:rFonts w:hint="eastAsia" w:ascii="Calibri" w:hAnsi="Calibri"/>
                <w:szCs w:val="21"/>
                <w:lang w:val="en-US" w:eastAsia="zh-CN"/>
              </w:rPr>
              <w:t>205.2°</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485" w:type="dxa"/>
            <w:tcBorders>
              <w:top w:val="single" w:color="auto" w:sz="4" w:space="0"/>
              <w:left w:val="single" w:color="auto" w:sz="12" w:space="0"/>
              <w:bottom w:val="single" w:color="auto" w:sz="4" w:space="0"/>
              <w:right w:val="single" w:color="auto" w:sz="4" w:space="0"/>
            </w:tcBorders>
          </w:tcPr>
          <w:p>
            <w:pPr>
              <w:rPr>
                <w:rFonts w:ascii="Calibri" w:hAnsi="Calibri"/>
                <w:szCs w:val="21"/>
              </w:rPr>
            </w:pPr>
            <w:r>
              <w:rPr>
                <w:rFonts w:ascii="Calibri" w:hAnsi="Calibri"/>
                <w:szCs w:val="21"/>
              </w:rPr>
              <w:t>2</w:t>
            </w:r>
          </w:p>
        </w:tc>
        <w:tc>
          <w:tcPr>
            <w:tcW w:w="2633" w:type="dxa"/>
            <w:tcBorders>
              <w:top w:val="single" w:color="auto" w:sz="4" w:space="0"/>
              <w:left w:val="single" w:color="auto" w:sz="4" w:space="0"/>
              <w:bottom w:val="single" w:color="auto" w:sz="4" w:space="0"/>
              <w:right w:val="single" w:color="auto" w:sz="4" w:space="0"/>
            </w:tcBorders>
            <w:vAlign w:val="center"/>
          </w:tcPr>
          <w:p>
            <w:pPr>
              <w:rPr>
                <w:rFonts w:ascii="Calibri" w:hAnsi="Calibri"/>
                <w:szCs w:val="21"/>
              </w:rPr>
            </w:pPr>
            <w:r>
              <w:rPr>
                <w:rFonts w:ascii="Calibri" w:hAnsi="Calibri"/>
                <w:szCs w:val="21"/>
              </w:rPr>
              <w:t>夏季</w:t>
            </w:r>
          </w:p>
        </w:tc>
        <w:tc>
          <w:tcPr>
            <w:tcW w:w="2680" w:type="dxa"/>
            <w:tcBorders>
              <w:top w:val="single" w:color="auto" w:sz="4" w:space="0"/>
              <w:left w:val="single" w:color="auto" w:sz="4" w:space="0"/>
              <w:bottom w:val="single" w:color="auto" w:sz="4" w:space="0"/>
              <w:right w:val="single" w:color="auto" w:sz="4" w:space="0"/>
            </w:tcBorders>
            <w:vAlign w:val="center"/>
          </w:tcPr>
          <w:p>
            <w:pPr>
              <w:rPr>
                <w:rFonts w:hint="default" w:ascii="Calibri" w:hAnsi="Calibri" w:eastAsia="宋体"/>
                <w:szCs w:val="21"/>
                <w:lang w:val="en-US" w:eastAsia="zh-CN"/>
              </w:rPr>
            </w:pPr>
            <w:r>
              <w:rPr>
                <w:rFonts w:hint="eastAsia" w:ascii="Calibri" w:hAnsi="Calibri"/>
                <w:szCs w:val="21"/>
                <w:lang w:val="en-US" w:eastAsia="zh-CN"/>
              </w:rPr>
              <w:t>3.3</w:t>
            </w:r>
          </w:p>
        </w:tc>
        <w:tc>
          <w:tcPr>
            <w:tcW w:w="2244" w:type="dxa"/>
            <w:tcBorders>
              <w:top w:val="single" w:color="auto" w:sz="4" w:space="0"/>
              <w:left w:val="single" w:color="auto" w:sz="4" w:space="0"/>
              <w:bottom w:val="single" w:color="auto" w:sz="4" w:space="0"/>
              <w:right w:val="single" w:color="auto" w:sz="12" w:space="0"/>
            </w:tcBorders>
          </w:tcPr>
          <w:p>
            <w:pPr>
              <w:rPr>
                <w:rFonts w:hint="default" w:ascii="Calibri" w:hAnsi="Calibri" w:eastAsia="宋体"/>
                <w:szCs w:val="21"/>
                <w:lang w:val="en-US" w:eastAsia="zh-CN"/>
              </w:rPr>
            </w:pPr>
            <w:r>
              <w:rPr>
                <w:rFonts w:hint="eastAsia" w:ascii="Calibri" w:hAnsi="Calibri"/>
                <w:szCs w:val="21"/>
                <w:lang w:val="en-US" w:eastAsia="zh-CN"/>
              </w:rPr>
              <w:t>0°</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485" w:type="dxa"/>
            <w:tcBorders>
              <w:top w:val="single" w:color="auto" w:sz="4" w:space="0"/>
              <w:left w:val="single" w:color="auto" w:sz="12" w:space="0"/>
              <w:bottom w:val="single" w:color="auto" w:sz="4" w:space="0"/>
              <w:right w:val="single" w:color="auto" w:sz="4" w:space="0"/>
            </w:tcBorders>
          </w:tcPr>
          <w:p>
            <w:pPr>
              <w:rPr>
                <w:rFonts w:ascii="Calibri" w:hAnsi="Calibri"/>
                <w:szCs w:val="21"/>
              </w:rPr>
            </w:pPr>
            <w:r>
              <w:rPr>
                <w:rFonts w:ascii="Calibri" w:hAnsi="Calibri"/>
                <w:szCs w:val="21"/>
              </w:rPr>
              <w:t>3</w:t>
            </w:r>
          </w:p>
        </w:tc>
        <w:tc>
          <w:tcPr>
            <w:tcW w:w="2633" w:type="dxa"/>
            <w:tcBorders>
              <w:top w:val="single" w:color="auto" w:sz="4" w:space="0"/>
              <w:left w:val="single" w:color="auto" w:sz="4" w:space="0"/>
              <w:bottom w:val="single" w:color="auto" w:sz="4" w:space="0"/>
              <w:right w:val="single" w:color="auto" w:sz="4" w:space="0"/>
            </w:tcBorders>
            <w:vAlign w:val="center"/>
          </w:tcPr>
          <w:p>
            <w:pPr>
              <w:rPr>
                <w:rFonts w:ascii="Calibri" w:hAnsi="Calibri"/>
                <w:szCs w:val="21"/>
              </w:rPr>
            </w:pPr>
            <w:r>
              <w:rPr>
                <w:rFonts w:hint="eastAsia" w:ascii="Calibri" w:hAnsi="Calibri"/>
                <w:szCs w:val="21"/>
                <w:lang w:val="en-US" w:eastAsia="zh-CN"/>
              </w:rPr>
              <w:t>春</w:t>
            </w:r>
            <w:r>
              <w:rPr>
                <w:rFonts w:ascii="Calibri" w:hAnsi="Calibri"/>
                <w:szCs w:val="21"/>
              </w:rPr>
              <w:t>季</w:t>
            </w:r>
          </w:p>
        </w:tc>
        <w:tc>
          <w:tcPr>
            <w:tcW w:w="2680" w:type="dxa"/>
            <w:tcBorders>
              <w:top w:val="single" w:color="auto" w:sz="4" w:space="0"/>
              <w:left w:val="single" w:color="auto" w:sz="4" w:space="0"/>
              <w:bottom w:val="single" w:color="auto" w:sz="4" w:space="0"/>
              <w:right w:val="single" w:color="auto" w:sz="4" w:space="0"/>
            </w:tcBorders>
            <w:vAlign w:val="center"/>
          </w:tcPr>
          <w:p>
            <w:pPr>
              <w:rPr>
                <w:rFonts w:hint="default" w:ascii="Calibri" w:hAnsi="Calibri" w:eastAsia="宋体"/>
                <w:szCs w:val="21"/>
                <w:lang w:val="en-US" w:eastAsia="zh-CN"/>
              </w:rPr>
            </w:pPr>
            <w:r>
              <w:rPr>
                <w:rFonts w:hint="eastAsia" w:ascii="Calibri" w:hAnsi="Calibri"/>
                <w:szCs w:val="21"/>
                <w:lang w:val="en-US" w:eastAsia="zh-CN"/>
              </w:rPr>
              <w:t>2.6</w:t>
            </w:r>
          </w:p>
        </w:tc>
        <w:tc>
          <w:tcPr>
            <w:tcW w:w="2244" w:type="dxa"/>
            <w:tcBorders>
              <w:top w:val="single" w:color="auto" w:sz="4" w:space="0"/>
              <w:left w:val="single" w:color="auto" w:sz="4" w:space="0"/>
              <w:bottom w:val="single" w:color="auto" w:sz="4" w:space="0"/>
              <w:right w:val="single" w:color="auto" w:sz="12" w:space="0"/>
            </w:tcBorders>
          </w:tcPr>
          <w:p>
            <w:pPr>
              <w:rPr>
                <w:rFonts w:hint="default" w:ascii="Calibri" w:hAnsi="Calibri" w:eastAsia="宋体"/>
                <w:szCs w:val="21"/>
                <w:lang w:val="en-US" w:eastAsia="zh-CN"/>
              </w:rPr>
            </w:pPr>
            <w:r>
              <w:rPr>
                <w:rFonts w:hint="eastAsia" w:ascii="Calibri" w:hAnsi="Calibri"/>
                <w:szCs w:val="21"/>
                <w:lang w:val="en-US" w:eastAsia="zh-CN"/>
              </w:rPr>
              <w:t>90°</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485" w:type="dxa"/>
            <w:tcBorders>
              <w:top w:val="single" w:color="auto" w:sz="4" w:space="0"/>
              <w:left w:val="single" w:color="auto" w:sz="12" w:space="0"/>
              <w:bottom w:val="single" w:color="auto" w:sz="12" w:space="0"/>
              <w:right w:val="single" w:color="auto" w:sz="4" w:space="0"/>
            </w:tcBorders>
          </w:tcPr>
          <w:p>
            <w:pPr>
              <w:rPr>
                <w:rFonts w:hint="eastAsia" w:ascii="Calibri" w:hAnsi="Calibri" w:eastAsia="宋体"/>
                <w:szCs w:val="21"/>
                <w:lang w:val="en-US" w:eastAsia="zh-CN"/>
              </w:rPr>
            </w:pPr>
            <w:r>
              <w:rPr>
                <w:rFonts w:hint="eastAsia" w:ascii="Calibri" w:hAnsi="Calibri"/>
                <w:szCs w:val="21"/>
                <w:lang w:val="en-US" w:eastAsia="zh-CN"/>
              </w:rPr>
              <w:t>4</w:t>
            </w:r>
          </w:p>
        </w:tc>
        <w:tc>
          <w:tcPr>
            <w:tcW w:w="2633" w:type="dxa"/>
            <w:tcBorders>
              <w:top w:val="single" w:color="auto" w:sz="4" w:space="0"/>
              <w:left w:val="single" w:color="auto" w:sz="4" w:space="0"/>
              <w:bottom w:val="single" w:color="auto" w:sz="12" w:space="0"/>
              <w:right w:val="single" w:color="auto" w:sz="4" w:space="0"/>
            </w:tcBorders>
            <w:vAlign w:val="center"/>
          </w:tcPr>
          <w:p>
            <w:pPr>
              <w:rPr>
                <w:rFonts w:hint="eastAsia" w:ascii="Calibri" w:hAnsi="Calibri" w:eastAsia="宋体"/>
                <w:szCs w:val="21"/>
                <w:lang w:val="en-US" w:eastAsia="zh-CN"/>
              </w:rPr>
            </w:pPr>
            <w:r>
              <w:rPr>
                <w:rFonts w:hint="eastAsia" w:ascii="Calibri" w:hAnsi="Calibri"/>
                <w:szCs w:val="21"/>
                <w:lang w:val="en-US" w:eastAsia="zh-CN"/>
              </w:rPr>
              <w:t>秋季</w:t>
            </w:r>
          </w:p>
        </w:tc>
        <w:tc>
          <w:tcPr>
            <w:tcW w:w="2680" w:type="dxa"/>
            <w:tcBorders>
              <w:top w:val="single" w:color="auto" w:sz="4" w:space="0"/>
              <w:left w:val="single" w:color="auto" w:sz="4" w:space="0"/>
              <w:bottom w:val="single" w:color="auto" w:sz="12" w:space="0"/>
              <w:right w:val="single" w:color="auto" w:sz="4" w:space="0"/>
            </w:tcBorders>
            <w:vAlign w:val="center"/>
          </w:tcPr>
          <w:p>
            <w:pPr>
              <w:rPr>
                <w:rFonts w:hint="default" w:ascii="Calibri" w:hAnsi="Calibri" w:eastAsia="宋体"/>
                <w:szCs w:val="21"/>
                <w:lang w:val="en-US" w:eastAsia="zh-CN"/>
              </w:rPr>
            </w:pPr>
            <w:r>
              <w:rPr>
                <w:rFonts w:hint="eastAsia" w:ascii="Calibri" w:hAnsi="Calibri"/>
                <w:szCs w:val="21"/>
                <w:lang w:val="en-US" w:eastAsia="zh-CN"/>
              </w:rPr>
              <w:t>2.6</w:t>
            </w:r>
          </w:p>
        </w:tc>
        <w:tc>
          <w:tcPr>
            <w:tcW w:w="2244" w:type="dxa"/>
            <w:tcBorders>
              <w:top w:val="single" w:color="auto" w:sz="4" w:space="0"/>
              <w:left w:val="single" w:color="auto" w:sz="4" w:space="0"/>
              <w:bottom w:val="single" w:color="auto" w:sz="12" w:space="0"/>
              <w:right w:val="single" w:color="auto" w:sz="12" w:space="0"/>
            </w:tcBorders>
          </w:tcPr>
          <w:p>
            <w:pPr>
              <w:rPr>
                <w:rFonts w:hint="default" w:ascii="Calibri" w:hAnsi="Calibri" w:eastAsia="宋体"/>
                <w:szCs w:val="21"/>
                <w:lang w:val="en-US" w:eastAsia="zh-CN"/>
              </w:rPr>
            </w:pPr>
            <w:r>
              <w:rPr>
                <w:rFonts w:hint="eastAsia" w:ascii="Calibri" w:hAnsi="Calibri"/>
                <w:szCs w:val="21"/>
                <w:lang w:val="en-US" w:eastAsia="zh-CN"/>
              </w:rPr>
              <w:t>45°</w:t>
            </w:r>
          </w:p>
        </w:tc>
      </w:tr>
      <w:bookmarkEnd w:id="61"/>
    </w:tbl>
    <w:p>
      <w:pPr>
        <w:rPr>
          <w:szCs w:val="21"/>
        </w:rPr>
      </w:pPr>
      <w:r>
        <w:rPr>
          <w:rFonts w:hint="eastAsia"/>
          <w:szCs w:val="21"/>
        </w:rPr>
        <w:t>说明：风向字母意义</w:t>
      </w:r>
      <w:r>
        <w:rPr>
          <w:szCs w:val="21"/>
        </w:rPr>
        <w:t>如下图所示</w:t>
      </w:r>
      <w:r>
        <w:rPr>
          <w:rFonts w:hint="eastAsia"/>
          <w:szCs w:val="21"/>
        </w:rPr>
        <w:t>：</w:t>
      </w:r>
    </w:p>
    <w:p>
      <w:pPr>
        <w:jc w:val="center"/>
        <w:rPr>
          <w:szCs w:val="21"/>
        </w:rPr>
      </w:pPr>
      <w:r>
        <w:rPr>
          <w:lang w:val="en-US"/>
        </w:rPr>
        <w:drawing>
          <wp:inline distT="0" distB="0" distL="0" distR="0">
            <wp:extent cx="2735580" cy="264922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5"/>
                    <a:stretch>
                      <a:fillRect/>
                    </a:stretch>
                  </pic:blipFill>
                  <pic:spPr>
                    <a:xfrm>
                      <a:off x="0" y="0"/>
                      <a:ext cx="2736000" cy="2649600"/>
                    </a:xfrm>
                    <a:prstGeom prst="rect">
                      <a:avLst/>
                    </a:prstGeom>
                  </pic:spPr>
                </pic:pic>
              </a:graphicData>
            </a:graphic>
          </wp:inline>
        </w:drawing>
      </w:r>
    </w:p>
    <w:p>
      <w:pPr>
        <w:pStyle w:val="3"/>
        <w:ind w:firstLine="0" w:firstLineChars="0"/>
        <w:jc w:val="cente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5.1</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风向</w:t>
      </w:r>
      <w:r>
        <w:rPr>
          <w:rFonts w:hint="eastAsia" w:ascii="Calibri Light" w:hAnsi="Calibri Light" w:eastAsia="黑体"/>
          <w:sz w:val="20"/>
          <w:szCs w:val="20"/>
        </w:rPr>
        <w:t>示意图</w:t>
      </w:r>
      <w:r>
        <w:rPr>
          <w:rFonts w:hint="eastAsia"/>
        </w:rPr>
        <w:t xml:space="preserve"> </w:t>
      </w:r>
    </w:p>
    <w:p>
      <w:pPr>
        <w:pStyle w:val="4"/>
      </w:pPr>
      <w:bookmarkStart w:id="62" w:name="_Toc509844750"/>
      <w:bookmarkStart w:id="63" w:name="_Toc6404"/>
      <w:r>
        <w:rPr>
          <w:rFonts w:hint="eastAsia"/>
        </w:rPr>
        <w:t>冬季工况</w:t>
      </w:r>
      <w:bookmarkEnd w:id="62"/>
      <w:bookmarkEnd w:id="63"/>
    </w:p>
    <w:p>
      <w:pPr>
        <w:ind w:firstLine="420" w:firstLineChars="200"/>
        <w:jc w:val="both"/>
        <w:rPr>
          <w:szCs w:val="21"/>
        </w:rPr>
      </w:pPr>
      <w:r>
        <w:rPr>
          <w:rFonts w:hint="eastAsia"/>
          <w:lang w:val="en-US"/>
        </w:rPr>
        <w:t>本项目冬季工况的入口边界风速为</w:t>
      </w:r>
      <w:r>
        <w:rPr>
          <w:rFonts w:hint="eastAsia" w:ascii="Calibri" w:hAnsi="Calibri"/>
          <w:szCs w:val="21"/>
          <w:lang w:val="en-US" w:eastAsia="zh-CN"/>
        </w:rPr>
        <w:t>3.7</w:t>
      </w:r>
      <w:r>
        <w:rPr>
          <w:rFonts w:ascii="Calibri" w:hAnsi="Calibri"/>
          <w:szCs w:val="21"/>
        </w:rPr>
        <w:t>m/s</w:t>
      </w:r>
      <w:r>
        <w:rPr>
          <w:rFonts w:hint="eastAsia" w:ascii="Calibri" w:hAnsi="Calibri"/>
          <w:szCs w:val="21"/>
        </w:rPr>
        <w:t>，风向为</w:t>
      </w:r>
      <w:r>
        <w:rPr>
          <w:rFonts w:hint="eastAsia" w:ascii="Calibri" w:hAnsi="Calibri"/>
          <w:szCs w:val="21"/>
          <w:lang w:val="en-US" w:eastAsia="zh-CN"/>
        </w:rPr>
        <w:t>205.2°</w:t>
      </w:r>
      <w:r>
        <w:rPr>
          <w:rFonts w:hint="eastAsia"/>
          <w:szCs w:val="21"/>
        </w:rPr>
        <w:t>。</w:t>
      </w:r>
    </w:p>
    <w:p>
      <w:pPr>
        <w:ind w:firstLine="420" w:firstLineChars="200"/>
        <w:jc w:val="both"/>
      </w:pPr>
      <w:r>
        <w:rPr>
          <w:rFonts w:hint="eastAsia"/>
          <w:lang w:val="en-US"/>
        </w:rPr>
        <w:t>前述《绿色建筑评价标准》中要求，冬季工况时，建筑物周围人行区风速低于5m/s，且室外风速放大系数小于2（可得2分）。本规定旨在指导建筑设计，合理控制建筑布局，避免冬季建筑周围风速过大造成行人在</w:t>
      </w:r>
      <w:r>
        <w:rPr>
          <w:rFonts w:hint="eastAsia"/>
          <w:b/>
          <w:lang w:val="en-US"/>
        </w:rPr>
        <w:t>人行区</w:t>
      </w:r>
      <w:r>
        <w:rPr>
          <w:rFonts w:hint="eastAsia"/>
          <w:lang w:val="en-US"/>
        </w:rPr>
        <w:t>内感到不舒适。因此本项目需要分析建筑周围</w:t>
      </w:r>
      <w:r>
        <w:rPr>
          <w:rFonts w:hint="eastAsia"/>
          <w:b/>
          <w:lang w:val="en-US"/>
        </w:rPr>
        <w:t>人行区</w:t>
      </w:r>
      <w:r>
        <w:rPr>
          <w:rFonts w:hint="eastAsia"/>
          <w:lang w:val="en-US"/>
        </w:rPr>
        <w:t>的风速和风速放大系数分布，并作出判断。</w:t>
      </w:r>
    </w:p>
    <w:p>
      <w:pPr>
        <w:pStyle w:val="5"/>
      </w:pPr>
      <w:bookmarkStart w:id="64" w:name="_Toc509844751"/>
      <w:bookmarkStart w:id="65" w:name="_Toc206"/>
      <w:r>
        <w:rPr>
          <w:rFonts w:hint="eastAsia"/>
        </w:rPr>
        <w:t>风速达标分析</w:t>
      </w:r>
      <w:bookmarkEnd w:id="64"/>
      <w:bookmarkEnd w:id="65"/>
      <w:r>
        <w:rPr>
          <w:rFonts w:hint="eastAsia"/>
        </w:rPr>
        <w:t xml:space="preserve"> </w:t>
      </w:r>
    </w:p>
    <w:p>
      <w:pPr>
        <w:pStyle w:val="6"/>
      </w:pPr>
      <w:r>
        <w:rPr>
          <w:rFonts w:hint="eastAsia"/>
        </w:rPr>
        <w:t>计算域内风速分析</w:t>
      </w:r>
    </w:p>
    <w:p>
      <w:pPr>
        <w:pStyle w:val="3"/>
        <w:ind w:firstLine="420"/>
        <w:jc w:val="left"/>
        <w:rPr>
          <w:rFonts w:hint="default" w:eastAsia="宋体"/>
          <w:lang w:val="en-US" w:eastAsia="zh-CN"/>
        </w:rPr>
      </w:pPr>
      <w:r>
        <w:rPr>
          <w:rFonts w:hint="eastAsia"/>
          <w:lang w:val="en-US"/>
        </w:rPr>
        <w:t>下图为整个计算域内风速分布云图，参考图中速度分布可以对项目中建筑布局进行优化。计算域内建筑周围如果有风速超限区域，图中会用速度上限值为5m/s的黑色等值线标示。分析下图数据，</w:t>
      </w:r>
      <w:bookmarkStart w:id="66" w:name="冬季工况风速分析结论"/>
      <w:bookmarkEnd w:id="66"/>
      <w:r>
        <w:rPr>
          <w:rFonts w:hint="eastAsia"/>
          <w:lang w:val="en-US" w:eastAsia="zh-CN"/>
        </w:rPr>
        <w:t>平面布局合理。</w:t>
      </w:r>
    </w:p>
    <w:p>
      <w:pPr>
        <w:pStyle w:val="3"/>
        <w:ind w:hanging="2" w:firstLineChars="0"/>
        <w:jc w:val="center"/>
        <w:rPr>
          <w:rFonts w:ascii="Calibri Light" w:hAnsi="Calibri Light" w:eastAsia="黑体"/>
          <w:sz w:val="20"/>
          <w:szCs w:val="20"/>
        </w:rPr>
      </w:pPr>
      <w:bookmarkStart w:id="67" w:name="冬季工况风速云图"/>
      <w:bookmarkEnd w:id="67"/>
      <w:r>
        <w:drawing>
          <wp:inline distT="0" distB="0" distL="0" distR="0">
            <wp:extent cx="3810000" cy="3317240"/>
            <wp:effectExtent l="9525" t="9525" r="9525" b="2603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66"/>
                    <a:stretch>
                      <a:fillRect/>
                    </a:stretch>
                  </pic:blipFill>
                  <pic:spPr>
                    <a:xfrm>
                      <a:off x="0" y="0"/>
                      <a:ext cx="3822032" cy="3328288"/>
                    </a:xfrm>
                    <a:prstGeom prst="rect">
                      <a:avLst/>
                    </a:prstGeom>
                    <a:ln>
                      <a:solidFill>
                        <a:srgbClr val="0000FF"/>
                      </a:solidFill>
                    </a:ln>
                  </pic:spPr>
                </pic:pic>
              </a:graphicData>
            </a:graphic>
          </wp:inline>
        </w:drawing>
      </w:r>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计算域内-1.5米高度水平面风速云图-冬季</w:t>
      </w:r>
    </w:p>
    <w:p>
      <w:pPr>
        <w:pStyle w:val="5"/>
      </w:pPr>
      <w:bookmarkStart w:id="68" w:name="_Toc509844752"/>
      <w:bookmarkStart w:id="69" w:name="_Toc9697"/>
      <w:r>
        <w:rPr>
          <w:rFonts w:hint="eastAsia"/>
        </w:rPr>
        <w:t>风速放大系数达标分析</w:t>
      </w:r>
      <w:bookmarkEnd w:id="68"/>
      <w:bookmarkEnd w:id="69"/>
    </w:p>
    <w:p>
      <w:pPr>
        <w:pStyle w:val="6"/>
      </w:pPr>
      <w:r>
        <w:rPr>
          <w:rFonts w:hint="eastAsia"/>
        </w:rPr>
        <w:t>计算域内风速放大系数分析</w:t>
      </w:r>
    </w:p>
    <w:p>
      <w:pPr>
        <w:pStyle w:val="3"/>
        <w:ind w:firstLine="420"/>
        <w:jc w:val="left"/>
        <w:rPr>
          <w:lang w:val="en-US"/>
        </w:rPr>
      </w:pPr>
      <w:r>
        <w:rPr>
          <w:rFonts w:hint="eastAsia"/>
          <w:lang w:val="en-US"/>
        </w:rPr>
        <w:t>下图为整个计算域内风速放大系数分布云图，参考该图中速度分布以及前述风速分布可以对项目中整体建筑布局进行优化。同样，计算域内建筑周围如果有风速放大系数超限区域，图中会用上限值为2的黑色等值线标示。分析下图数据，</w:t>
      </w:r>
      <w:bookmarkStart w:id="70" w:name="冬季工况风速放大系数分析结论"/>
      <w:bookmarkEnd w:id="70"/>
      <w:r>
        <w:rPr>
          <w:rFonts w:hint="eastAsia"/>
          <w:lang w:val="en-US" w:eastAsia="zh-CN"/>
        </w:rPr>
        <w:t>平面布局合理</w:t>
      </w:r>
      <w:r>
        <w:rPr>
          <w:lang w:val="en-US"/>
        </w:rPr>
        <w:t>。</w:t>
      </w:r>
    </w:p>
    <w:p>
      <w:pPr>
        <w:pStyle w:val="13"/>
        <w:jc w:val="center"/>
        <w:rPr>
          <w:lang w:val="en-US"/>
        </w:rPr>
      </w:pPr>
      <w:bookmarkStart w:id="71" w:name="冬季工况风速放大系数云图"/>
      <w:bookmarkEnd w:id="71"/>
      <w:r>
        <w:drawing>
          <wp:inline distT="0" distB="0" distL="0" distR="0">
            <wp:extent cx="4180840" cy="3895725"/>
            <wp:effectExtent l="9525" t="9525" r="19685" b="190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67"/>
                    <a:stretch>
                      <a:fillRect/>
                    </a:stretch>
                  </pic:blipFill>
                  <pic:spPr>
                    <a:xfrm>
                      <a:off x="0" y="0"/>
                      <a:ext cx="4188358" cy="3902444"/>
                    </a:xfrm>
                    <a:prstGeom prst="rect">
                      <a:avLst/>
                    </a:prstGeom>
                    <a:ln>
                      <a:solidFill>
                        <a:srgbClr val="0000FF"/>
                      </a:solidFill>
                    </a:ln>
                  </pic:spPr>
                </pic:pic>
              </a:graphicData>
            </a:graphic>
          </wp:inline>
        </w:drawing>
      </w:r>
    </w:p>
    <w:p>
      <w:pPr>
        <w:pStyle w:val="13"/>
        <w:jc w:val="center"/>
        <w:rPr>
          <w:rFonts w:ascii="黑体" w:hAnsi="黑体"/>
        </w:rPr>
      </w:pPr>
      <w:r>
        <w:rPr>
          <w:rFonts w:hint="eastAsia" w:ascii="黑体" w:hAnsi="黑体"/>
        </w:rPr>
        <w:t xml:space="preserve">图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5.2</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图 \* ARABIC \s 2</w:instrText>
      </w:r>
      <w:r>
        <w:rPr>
          <w:rFonts w:ascii="黑体" w:hAnsi="黑体"/>
        </w:rPr>
        <w:instrText xml:space="preserve"> </w:instrText>
      </w:r>
      <w:r>
        <w:rPr>
          <w:rFonts w:ascii="黑体" w:hAnsi="黑体"/>
        </w:rPr>
        <w:fldChar w:fldCharType="separate"/>
      </w:r>
      <w:r>
        <w:rPr>
          <w:rFonts w:ascii="黑体" w:hAnsi="黑体"/>
        </w:rPr>
        <w:t>2</w:t>
      </w:r>
      <w:r>
        <w:rPr>
          <w:rFonts w:ascii="黑体" w:hAnsi="黑体"/>
        </w:rPr>
        <w:fldChar w:fldCharType="end"/>
      </w:r>
      <w:r>
        <w:rPr>
          <w:rFonts w:ascii="黑体" w:hAnsi="黑体"/>
        </w:rPr>
        <w:t xml:space="preserve">  </w:t>
      </w:r>
      <w:r>
        <w:rPr>
          <w:rFonts w:hint="eastAsia" w:ascii="黑体" w:hAnsi="黑体"/>
        </w:rPr>
        <w:t>1.5米高处风速放大系数云图</w:t>
      </w:r>
    </w:p>
    <w:p>
      <w:pPr>
        <w:pStyle w:val="3"/>
        <w:ind w:firstLine="420"/>
        <w:rPr>
          <w:rFonts w:ascii="黑体" w:hAnsi="黑体" w:eastAsia="黑体"/>
          <w:szCs w:val="20"/>
          <w:lang w:val="en-US"/>
        </w:rPr>
      </w:pPr>
      <w:r>
        <w:rPr>
          <w:rFonts w:hint="eastAsia" w:ascii="黑体" w:hAnsi="黑体" w:eastAsia="黑体"/>
          <w:szCs w:val="20"/>
          <w:lang w:val="en-US"/>
        </w:rPr>
        <w:t>注：</w:t>
      </w:r>
    </w:p>
    <w:p>
      <w:pPr>
        <w:pStyle w:val="3"/>
        <w:ind w:firstLine="420"/>
        <w:rPr>
          <w:rFonts w:ascii="黑体" w:hAnsi="黑体" w:eastAsia="黑体"/>
          <w:szCs w:val="20"/>
          <w:lang w:val="en-US"/>
        </w:rPr>
      </w:pPr>
      <w:r>
        <w:rPr>
          <w:rFonts w:hint="eastAsia" w:ascii="黑体" w:hAnsi="黑体" w:eastAsia="黑体"/>
          <w:szCs w:val="20"/>
          <w:lang w:val="en-US"/>
        </w:rPr>
        <w:t>1）人户外活动主要场地包括人行道、广场、游憩场、停车场以及庭院，本项目中均定义为人行区。</w:t>
      </w:r>
    </w:p>
    <w:p>
      <w:pPr>
        <w:pStyle w:val="3"/>
        <w:ind w:firstLine="420"/>
        <w:rPr>
          <w:rFonts w:ascii="黑体" w:hAnsi="黑体" w:eastAsia="黑体"/>
          <w:szCs w:val="20"/>
          <w:lang w:val="en-US"/>
        </w:rPr>
      </w:pPr>
      <w:r>
        <w:rPr>
          <w:rFonts w:hint="eastAsia" w:ascii="黑体" w:hAnsi="黑体" w:eastAsia="黑体"/>
          <w:szCs w:val="20"/>
          <w:lang w:val="en-US"/>
        </w:rPr>
        <w:t>2）人行区和计算域内风速分布云图中图例上限均为计算域内实际风速最大值，图例上限也可按需求在软件中调整。</w:t>
      </w:r>
    </w:p>
    <w:p>
      <w:pPr>
        <w:ind w:firstLine="420" w:firstLineChars="200"/>
        <w:rPr>
          <w:rFonts w:ascii="黑体" w:hAnsi="黑体"/>
          <w:lang w:val="en-US"/>
        </w:rPr>
      </w:pPr>
      <w:r>
        <w:rPr>
          <w:rFonts w:hint="eastAsia" w:ascii="黑体" w:hAnsi="黑体" w:eastAsia="黑体"/>
          <w:lang w:val="en-US"/>
        </w:rPr>
        <w:t>3）通常将1.5米作为一般人群的参考行走高度，也可酌情调整人行走高度。</w:t>
      </w:r>
    </w:p>
    <w:p>
      <w:pPr>
        <w:pStyle w:val="5"/>
      </w:pPr>
      <w:bookmarkStart w:id="72" w:name="_Toc509844753"/>
      <w:bookmarkStart w:id="73" w:name="_Toc6213"/>
      <w:r>
        <w:rPr>
          <w:rFonts w:hint="eastAsia" w:cs="宋体"/>
          <w:lang w:val="en-GB"/>
        </w:rPr>
        <w:t>人行区域</w:t>
      </w:r>
      <w:r>
        <w:rPr>
          <w:rFonts w:hint="eastAsia"/>
        </w:rPr>
        <w:t>冬季工况风速/风速放大系数达标判定</w:t>
      </w:r>
      <w:bookmarkEnd w:id="72"/>
      <w:bookmarkEnd w:id="73"/>
    </w:p>
    <w:p>
      <w:pPr>
        <w:pStyle w:val="3"/>
        <w:ind w:firstLine="420"/>
      </w:pPr>
      <w:r>
        <w:rPr>
          <w:rFonts w:hint="eastAsia"/>
          <w:lang w:val="en-US"/>
        </w:rPr>
        <w:t>综合上述冬季工况风场中风速和风速放大系数的计算分析，将分析结果汇总如下表：</w:t>
      </w:r>
    </w:p>
    <w:p>
      <w:pPr>
        <w:pStyle w:val="3"/>
        <w:ind w:firstLine="400"/>
        <w:jc w:val="center"/>
        <w:rPr>
          <w:rFonts w:ascii="黑体" w:hAnsi="黑体" w:eastAsia="黑体"/>
          <w:sz w:val="20"/>
          <w:szCs w:val="20"/>
        </w:rPr>
      </w:pPr>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冬季工况风速/风速放大系数达标分析汇总</w:t>
      </w:r>
    </w:p>
    <w:tbl>
      <w:tblPr>
        <w:tblStyle w:val="21"/>
        <w:tblW w:w="6378" w:type="dxa"/>
        <w:jc w:val="center"/>
        <w:tblInd w:w="0" w:type="dxa"/>
        <w:tblLayout w:type="fixed"/>
        <w:tblCellMar>
          <w:top w:w="0" w:type="dxa"/>
          <w:left w:w="108" w:type="dxa"/>
          <w:bottom w:w="0" w:type="dxa"/>
          <w:right w:w="108" w:type="dxa"/>
        </w:tblCellMar>
      </w:tblPr>
      <w:tblGrid>
        <w:gridCol w:w="1559"/>
        <w:gridCol w:w="1701"/>
        <w:gridCol w:w="1843"/>
        <w:gridCol w:w="1275"/>
      </w:tblGrid>
      <w:tr>
        <w:tblPrEx>
          <w:tblLayout w:type="fixed"/>
          <w:tblCellMar>
            <w:top w:w="0" w:type="dxa"/>
            <w:left w:w="108" w:type="dxa"/>
            <w:bottom w:w="0" w:type="dxa"/>
            <w:right w:w="108" w:type="dxa"/>
          </w:tblCellMar>
        </w:tblPrEx>
        <w:trPr>
          <w:trHeight w:val="270" w:hRule="atLeast"/>
          <w:jc w:val="center"/>
        </w:trPr>
        <w:tc>
          <w:tcPr>
            <w:tcW w:w="1559"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评价量</w:t>
            </w:r>
          </w:p>
        </w:tc>
        <w:tc>
          <w:tcPr>
            <w:tcW w:w="170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标准要求限值</w:t>
            </w:r>
          </w:p>
        </w:tc>
        <w:tc>
          <w:tcPr>
            <w:tcW w:w="1843"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是否有超限区域</w:t>
            </w:r>
          </w:p>
        </w:tc>
        <w:tc>
          <w:tcPr>
            <w:tcW w:w="1275"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达标判断</w:t>
            </w:r>
          </w:p>
        </w:tc>
      </w:tr>
      <w:tr>
        <w:tblPrEx>
          <w:tblLayout w:type="fixed"/>
          <w:tblCellMar>
            <w:top w:w="0" w:type="dxa"/>
            <w:left w:w="108" w:type="dxa"/>
            <w:bottom w:w="0" w:type="dxa"/>
            <w:right w:w="108" w:type="dxa"/>
          </w:tblCellMar>
        </w:tblPrEx>
        <w:trPr>
          <w:trHeight w:val="270" w:hRule="atLeast"/>
          <w:jc w:val="center"/>
        </w:trPr>
        <w:tc>
          <w:tcPr>
            <w:tcW w:w="1559" w:type="dxa"/>
            <w:tcBorders>
              <w:top w:val="nil"/>
              <w:left w:val="single" w:color="auto" w:sz="4" w:space="0"/>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风速</w:t>
            </w:r>
          </w:p>
        </w:tc>
        <w:tc>
          <w:tcPr>
            <w:tcW w:w="1701" w:type="dxa"/>
            <w:tcBorders>
              <w:top w:val="nil"/>
              <w:left w:val="nil"/>
              <w:bottom w:val="single" w:color="auto" w:sz="4" w:space="0"/>
              <w:right w:val="single" w:color="auto" w:sz="4" w:space="0"/>
            </w:tcBorders>
            <w:shd w:val="clear" w:color="auto" w:fill="auto"/>
            <w:noWrap/>
            <w:vAlign w:val="center"/>
          </w:tcPr>
          <w:p>
            <w:pPr>
              <w:rPr>
                <w:rFonts w:ascii="宋体" w:hAnsi="宋体" w:cs="宋体"/>
                <w:szCs w:val="21"/>
              </w:rPr>
            </w:pPr>
            <w:r>
              <w:rPr>
                <w:rFonts w:ascii="宋体" w:hAnsi="宋体" w:cs="宋体"/>
                <w:szCs w:val="21"/>
              </w:rPr>
              <w:t>&lt;5m/s</w:t>
            </w:r>
          </w:p>
        </w:tc>
        <w:tc>
          <w:tcPr>
            <w:tcW w:w="1843" w:type="dxa"/>
            <w:tcBorders>
              <w:top w:val="nil"/>
              <w:left w:val="nil"/>
              <w:bottom w:val="single" w:color="auto" w:sz="4" w:space="0"/>
              <w:right w:val="single" w:color="auto" w:sz="4" w:space="0"/>
            </w:tcBorders>
            <w:shd w:val="clear" w:color="auto" w:fill="auto"/>
            <w:noWrap/>
            <w:vAlign w:val="center"/>
          </w:tcPr>
          <w:p>
            <w:pPr>
              <w:spacing w:line="240" w:lineRule="auto"/>
              <w:rPr>
                <w:rFonts w:hint="eastAsia" w:ascii="宋体" w:hAnsi="宋体" w:eastAsia="宋体" w:cs="宋体"/>
                <w:color w:val="000000"/>
                <w:sz w:val="22"/>
                <w:szCs w:val="22"/>
                <w:lang w:val="en-US" w:eastAsia="zh-CN"/>
              </w:rPr>
            </w:pPr>
            <w:r>
              <w:rPr>
                <w:rFonts w:hint="eastAsia" w:ascii="宋体" w:hAnsi="宋体" w:cs="宋体"/>
                <w:color w:val="000000"/>
                <w:sz w:val="22"/>
                <w:szCs w:val="22"/>
                <w:lang w:val="en-US" w:eastAsia="zh-CN"/>
              </w:rPr>
              <w:t>否</w:t>
            </w:r>
          </w:p>
        </w:tc>
        <w:tc>
          <w:tcPr>
            <w:tcW w:w="1275" w:type="dxa"/>
            <w:tcBorders>
              <w:top w:val="nil"/>
              <w:left w:val="nil"/>
              <w:bottom w:val="single" w:color="auto" w:sz="4" w:space="0"/>
              <w:right w:val="single" w:color="auto" w:sz="4" w:space="0"/>
            </w:tcBorders>
            <w:shd w:val="clear" w:color="auto" w:fill="auto"/>
            <w:noWrap/>
            <w:vAlign w:val="center"/>
          </w:tcPr>
          <w:p>
            <w:pPr>
              <w:spacing w:line="240" w:lineRule="auto"/>
              <w:rPr>
                <w:rFonts w:ascii="宋体" w:hAnsi="宋体" w:cs="宋体"/>
                <w:color w:val="auto"/>
                <w:sz w:val="22"/>
                <w:szCs w:val="22"/>
                <w:lang w:val="en-US"/>
              </w:rPr>
            </w:pPr>
            <w:r>
              <w:rPr>
                <w:rFonts w:hint="eastAsia" w:ascii="宋体" w:hAnsi="宋体" w:cs="宋体"/>
                <w:color w:val="auto"/>
                <w:sz w:val="22"/>
                <w:szCs w:val="22"/>
                <w:lang w:val="en-US"/>
              </w:rPr>
              <w:t>是</w:t>
            </w:r>
          </w:p>
        </w:tc>
      </w:tr>
      <w:tr>
        <w:tblPrEx>
          <w:tblLayout w:type="fixed"/>
          <w:tblCellMar>
            <w:top w:w="0" w:type="dxa"/>
            <w:left w:w="108" w:type="dxa"/>
            <w:bottom w:w="0" w:type="dxa"/>
            <w:right w:w="108" w:type="dxa"/>
          </w:tblCellMar>
        </w:tblPrEx>
        <w:trPr>
          <w:trHeight w:val="270" w:hRule="atLeast"/>
          <w:jc w:val="center"/>
        </w:trPr>
        <w:tc>
          <w:tcPr>
            <w:tcW w:w="1559" w:type="dxa"/>
            <w:tcBorders>
              <w:top w:val="nil"/>
              <w:left w:val="single" w:color="auto" w:sz="4" w:space="0"/>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风速放大系数</w:t>
            </w:r>
          </w:p>
        </w:tc>
        <w:tc>
          <w:tcPr>
            <w:tcW w:w="1701" w:type="dxa"/>
            <w:tcBorders>
              <w:top w:val="nil"/>
              <w:left w:val="nil"/>
              <w:bottom w:val="single" w:color="auto" w:sz="4" w:space="0"/>
              <w:right w:val="single" w:color="auto" w:sz="4" w:space="0"/>
            </w:tcBorders>
            <w:shd w:val="clear" w:color="auto" w:fill="auto"/>
            <w:noWrap/>
            <w:vAlign w:val="center"/>
          </w:tcPr>
          <w:p>
            <w:pPr>
              <w:rPr>
                <w:rFonts w:ascii="宋体" w:hAnsi="宋体" w:cs="宋体"/>
                <w:szCs w:val="21"/>
              </w:rPr>
            </w:pPr>
            <w:r>
              <w:rPr>
                <w:rFonts w:ascii="宋体" w:hAnsi="宋体" w:cs="宋体"/>
                <w:szCs w:val="21"/>
              </w:rPr>
              <w:t>&lt;2</w:t>
            </w:r>
          </w:p>
        </w:tc>
        <w:tc>
          <w:tcPr>
            <w:tcW w:w="1843" w:type="dxa"/>
            <w:tcBorders>
              <w:top w:val="nil"/>
              <w:left w:val="nil"/>
              <w:bottom w:val="single" w:color="auto" w:sz="4" w:space="0"/>
              <w:right w:val="single" w:color="auto" w:sz="4" w:space="0"/>
            </w:tcBorders>
            <w:shd w:val="clear" w:color="auto" w:fill="auto"/>
            <w:noWrap/>
            <w:vAlign w:val="center"/>
          </w:tcPr>
          <w:p>
            <w:pPr>
              <w:spacing w:line="240" w:lineRule="auto"/>
              <w:rPr>
                <w:rFonts w:hint="eastAsia" w:ascii="宋体" w:hAnsi="宋体" w:eastAsia="宋体" w:cs="宋体"/>
                <w:color w:val="000000"/>
                <w:sz w:val="22"/>
                <w:szCs w:val="22"/>
                <w:lang w:val="en-US" w:eastAsia="zh-CN"/>
              </w:rPr>
            </w:pPr>
            <w:r>
              <w:rPr>
                <w:rFonts w:hint="eastAsia" w:ascii="宋体" w:hAnsi="宋体" w:cs="宋体"/>
                <w:color w:val="000000"/>
                <w:sz w:val="22"/>
                <w:szCs w:val="22"/>
                <w:lang w:val="en-US" w:eastAsia="zh-CN"/>
              </w:rPr>
              <w:t>否</w:t>
            </w:r>
          </w:p>
        </w:tc>
        <w:tc>
          <w:tcPr>
            <w:tcW w:w="1275" w:type="dxa"/>
            <w:tcBorders>
              <w:top w:val="nil"/>
              <w:left w:val="nil"/>
              <w:bottom w:val="single" w:color="auto" w:sz="4" w:space="0"/>
              <w:right w:val="single" w:color="auto" w:sz="4" w:space="0"/>
            </w:tcBorders>
            <w:shd w:val="clear" w:color="auto" w:fill="auto"/>
            <w:noWrap/>
            <w:vAlign w:val="center"/>
          </w:tcPr>
          <w:p>
            <w:pPr>
              <w:spacing w:line="240" w:lineRule="auto"/>
              <w:rPr>
                <w:rFonts w:ascii="宋体" w:hAnsi="宋体" w:cs="宋体"/>
                <w:color w:val="auto"/>
                <w:sz w:val="22"/>
                <w:szCs w:val="22"/>
                <w:lang w:val="en-US"/>
              </w:rPr>
            </w:pPr>
            <w:r>
              <w:rPr>
                <w:rFonts w:hint="eastAsia" w:ascii="宋体" w:hAnsi="宋体" w:cs="宋体"/>
                <w:color w:val="auto"/>
                <w:sz w:val="22"/>
                <w:szCs w:val="22"/>
                <w:lang w:val="en-US"/>
              </w:rPr>
              <w:t>是</w:t>
            </w:r>
          </w:p>
        </w:tc>
      </w:tr>
    </w:tbl>
    <w:p>
      <w:pPr>
        <w:pStyle w:val="5"/>
      </w:pPr>
      <w:bookmarkStart w:id="74" w:name="_Toc509844755"/>
      <w:bookmarkEnd w:id="74"/>
      <w:bookmarkStart w:id="75" w:name="_Toc509844756"/>
      <w:bookmarkEnd w:id="75"/>
      <w:bookmarkStart w:id="76" w:name="_Toc509844757"/>
      <w:bookmarkEnd w:id="76"/>
      <w:bookmarkStart w:id="77" w:name="_Toc509844754"/>
      <w:bookmarkEnd w:id="77"/>
      <w:bookmarkStart w:id="78" w:name="_Toc509844758"/>
      <w:bookmarkStart w:id="79" w:name="_Toc30576"/>
      <w:r>
        <w:rPr>
          <w:rFonts w:hint="eastAsia"/>
        </w:rPr>
        <w:t>建筑迎风面和背风面风压分析</w:t>
      </w:r>
      <w:bookmarkEnd w:id="78"/>
      <w:bookmarkEnd w:id="79"/>
    </w:p>
    <w:p>
      <w:pPr>
        <w:pStyle w:val="3"/>
        <w:ind w:firstLine="420"/>
        <w:rPr>
          <w:lang w:val="en-US"/>
        </w:rPr>
      </w:pPr>
      <w:r>
        <w:rPr>
          <w:rFonts w:hint="eastAsia"/>
          <w:lang w:val="en-US"/>
        </w:rPr>
        <w:t>标准4.2.6中规定“冬季工况下除迎风第一排建筑外，建筑迎风面与背风面表面风压差不超过5Pa”，以此来指导设计避免由于建筑迎风面与背风面表面风压差过大，导致冷风通过门窗缝隙渗透过多，从而增加室内热负荷而不节能，因此建筑迎风面与背风面表面风压差的控制需要体现在对应的门窗表面风压上。</w:t>
      </w:r>
    </w:p>
    <w:p>
      <w:pPr>
        <w:pStyle w:val="6"/>
        <w:rPr>
          <w:lang w:val="en-US"/>
        </w:rPr>
      </w:pPr>
      <w:r>
        <w:rPr>
          <w:rFonts w:hint="eastAsia"/>
          <w:lang w:val="en-US"/>
        </w:rPr>
        <w:t>建筑迎风面和背风面风压差计算方法</w:t>
      </w:r>
    </w:p>
    <w:p>
      <w:pPr>
        <w:pStyle w:val="3"/>
        <w:spacing w:after="156" w:afterLines="50"/>
        <w:ind w:firstLine="420"/>
        <w:rPr>
          <w:lang w:val="en-US"/>
        </w:rPr>
      </w:pPr>
      <w:r>
        <w:rPr>
          <w:rFonts w:hint="eastAsia"/>
          <w:lang w:val="en-US"/>
        </w:rPr>
        <w:t>本项目采用面积加权法对建筑迎风面和背风面对应门窗的风压值进行计算，最后获得迎背风面门窗的风压差值。下面将以一个示意建筑为例说明具体计算过程。</w:t>
      </w:r>
    </w:p>
    <w:p>
      <w:pPr>
        <w:pStyle w:val="3"/>
        <w:ind w:firstLine="0" w:firstLineChars="0"/>
        <w:jc w:val="center"/>
        <w:rPr>
          <w:lang w:val="en-US"/>
        </w:rPr>
      </w:pPr>
      <w:r>
        <w:rPr>
          <w:lang w:val="en-US"/>
        </w:rPr>
        <w:drawing>
          <wp:inline distT="0" distB="0" distL="0" distR="0">
            <wp:extent cx="3657600" cy="2924175"/>
            <wp:effectExtent l="0" t="0" r="0" b="9525"/>
            <wp:docPr id="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pic:cNvPicPr>
                      <a:picLocks noChangeAspect="1" noChangeArrowheads="1"/>
                    </pic:cNvPicPr>
                  </pic:nvPicPr>
                  <pic:blipFill>
                    <a:blip r:embed="rId68">
                      <a:extLst>
                        <a:ext uri="{28A0092B-C50C-407E-A947-70E740481C1C}">
                          <a14:useLocalDpi xmlns:a14="http://schemas.microsoft.com/office/drawing/2010/main" val="0"/>
                        </a:ext>
                      </a:extLst>
                    </a:blip>
                    <a:srcRect r="2290"/>
                    <a:stretch>
                      <a:fillRect/>
                    </a:stretch>
                  </pic:blipFill>
                  <pic:spPr>
                    <a:xfrm>
                      <a:off x="0" y="0"/>
                      <a:ext cx="3657600" cy="2924175"/>
                    </a:xfrm>
                    <a:prstGeom prst="rect">
                      <a:avLst/>
                    </a:prstGeom>
                    <a:noFill/>
                    <a:ln>
                      <a:noFill/>
                    </a:ln>
                  </pic:spPr>
                </pic:pic>
              </a:graphicData>
            </a:graphic>
          </wp:inline>
        </w:drawing>
      </w:r>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3</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 xml:space="preserve"> 示意建筑平面图</w:t>
      </w:r>
    </w:p>
    <w:p>
      <w:pPr>
        <w:pStyle w:val="3"/>
        <w:ind w:firstLine="420"/>
        <w:rPr>
          <w:lang w:val="en-US"/>
        </w:rPr>
      </w:pPr>
      <w:r>
        <w:rPr>
          <w:rFonts w:hint="eastAsia"/>
          <w:lang w:val="en-US"/>
        </w:rPr>
        <w:t>以上图建筑第二层为例，迎风面窗户C1，C2，C3的平均风压值，通过每个窗户的平均风压和其窗户面积进行加权平均计算， 如下式：</w:t>
      </w:r>
    </w:p>
    <w:tbl>
      <w:tblPr>
        <w:tblStyle w:val="21"/>
        <w:tblW w:w="9072" w:type="dxa"/>
        <w:tblInd w:w="0" w:type="dxa"/>
        <w:tblLayout w:type="fixed"/>
        <w:tblCellMar>
          <w:top w:w="0" w:type="dxa"/>
          <w:left w:w="108" w:type="dxa"/>
          <w:bottom w:w="0" w:type="dxa"/>
          <w:right w:w="108" w:type="dxa"/>
        </w:tblCellMar>
      </w:tblPr>
      <w:tblGrid>
        <w:gridCol w:w="7991"/>
        <w:gridCol w:w="1081"/>
      </w:tblGrid>
      <w:tr>
        <w:tblPrEx>
          <w:tblLayout w:type="fixed"/>
          <w:tblCellMar>
            <w:top w:w="0" w:type="dxa"/>
            <w:left w:w="108" w:type="dxa"/>
            <w:bottom w:w="0" w:type="dxa"/>
            <w:right w:w="108" w:type="dxa"/>
          </w:tblCellMar>
        </w:tblPrEx>
        <w:tc>
          <w:tcPr>
            <w:tcW w:w="7991" w:type="dxa"/>
            <w:shd w:val="clear" w:color="auto" w:fill="auto"/>
          </w:tcPr>
          <w:p>
            <w:pPr>
              <w:pStyle w:val="3"/>
              <w:ind w:firstLine="0" w:firstLineChars="0"/>
              <w:jc w:val="cente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ctrlPr>
                      <w:rPr>
                        <w:rFonts w:ascii="Cambria Math" w:hAnsi="Cambria Math"/>
                        <w:lang w:val="en-US"/>
                      </w:rPr>
                    </m:ctrlPr>
                  </m:e>
                  <m:sub>
                    <m:r>
                      <m:rPr>
                        <m:sty m:val="p"/>
                      </m:rPr>
                      <w:rPr>
                        <w:rFonts w:ascii="Cambria Math" w:hAnsi="Cambria Math"/>
                        <w:lang w:val="en-US"/>
                      </w:rPr>
                      <m:t>Up</m:t>
                    </m:r>
                    <m:ctrlPr>
                      <w:rPr>
                        <w:rFonts w:ascii="Cambria Math" w:hAnsi="Cambria Math"/>
                        <w:lang w:val="en-US"/>
                      </w:rPr>
                    </m:ctrlPr>
                  </m:sub>
                </m:sSub>
                <m:r>
                  <w:rPr>
                    <w:rFonts w:ascii="Cambria Math" w:hAnsi="Cambria Math"/>
                    <w:lang w:val="en-US"/>
                  </w:rPr>
                  <m:t>=</m:t>
                </m:r>
                <m:f>
                  <m:fPr>
                    <m:ctrlPr>
                      <w:rPr>
                        <w:rFonts w:ascii="Cambria Math" w:hAnsi="Cambria Math"/>
                        <w:lang w:val="en-US"/>
                      </w:rPr>
                    </m:ctrlPr>
                  </m:fPr>
                  <m:num>
                    <m:sSub>
                      <m:sSubPr>
                        <m:ctrlPr>
                          <w:rPr>
                            <w:rFonts w:ascii="Cambria Math" w:hAnsi="Cambria Math"/>
                            <w:i/>
                            <w:lang w:val="en-US"/>
                          </w:rPr>
                        </m:ctrlPr>
                      </m:sSubPr>
                      <m:e>
                        <m:r>
                          <w:rPr>
                            <w:rFonts w:ascii="Cambria Math" w:hAnsi="Cambria Math"/>
                            <w:lang w:val="en-US"/>
                          </w:rPr>
                          <m:t>P</m:t>
                        </m:r>
                        <m:ctrlPr>
                          <w:rPr>
                            <w:rFonts w:ascii="Cambria Math" w:hAnsi="Cambria Math"/>
                            <w:i/>
                            <w:lang w:val="en-US"/>
                          </w:rPr>
                        </m:ctrlPr>
                      </m:e>
                      <m:sub>
                        <m:r>
                          <m:rPr>
                            <m:sty m:val="p"/>
                          </m:rPr>
                          <w:rPr>
                            <w:rFonts w:ascii="Cambria Math" w:hAnsi="Cambria Math"/>
                            <w:lang w:val="en-US"/>
                          </w:rPr>
                          <m:t>C1</m:t>
                        </m:r>
                        <m:ctrlPr>
                          <w:rPr>
                            <w:rFonts w:ascii="Cambria Math" w:hAnsi="Cambria Math"/>
                            <w:i/>
                            <w:lang w:val="en-US"/>
                          </w:rPr>
                        </m:ctrlP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ctrlPr>
                          <w:rPr>
                            <w:rFonts w:ascii="Cambria Math" w:hAnsi="Cambria Math"/>
                            <w:i/>
                            <w:lang w:val="en-US"/>
                          </w:rPr>
                        </m:ctrlPr>
                      </m:e>
                      <m:sub>
                        <m:r>
                          <m:rPr>
                            <m:sty m:val="p"/>
                          </m:rPr>
                          <w:rPr>
                            <w:rFonts w:ascii="Cambria Math" w:hAnsi="Cambria Math"/>
                            <w:lang w:val="en-US"/>
                          </w:rPr>
                          <m:t>C1</m:t>
                        </m:r>
                        <m:ctrlPr>
                          <w:rPr>
                            <w:rFonts w:ascii="Cambria Math" w:hAnsi="Cambria Math"/>
                            <w:i/>
                            <w:lang w:val="en-US"/>
                          </w:rPr>
                        </m:ctrlP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ctrlPr>
                          <w:rPr>
                            <w:rFonts w:ascii="Cambria Math" w:hAnsi="Cambria Math"/>
                            <w:i/>
                            <w:lang w:val="en-US"/>
                          </w:rPr>
                        </m:ctrlPr>
                      </m:e>
                      <m:sub>
                        <m:r>
                          <w:rPr>
                            <w:rFonts w:ascii="Cambria Math" w:hAnsi="Cambria Math"/>
                            <w:lang w:val="en-US"/>
                          </w:rPr>
                          <m:t>C</m:t>
                        </m:r>
                        <m:r>
                          <m:rPr>
                            <m:sty m:val="p"/>
                          </m:rPr>
                          <w:rPr>
                            <w:rFonts w:ascii="Cambria Math" w:hAnsi="Cambria Math"/>
                            <w:lang w:val="en-US"/>
                          </w:rPr>
                          <m:t>2</m:t>
                        </m:r>
                        <m:ctrlPr>
                          <w:rPr>
                            <w:rFonts w:ascii="Cambria Math" w:hAnsi="Cambria Math"/>
                            <w:i/>
                            <w:lang w:val="en-US"/>
                          </w:rPr>
                        </m:ctrlP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ctrlPr>
                          <w:rPr>
                            <w:rFonts w:ascii="Cambria Math" w:hAnsi="Cambria Math"/>
                            <w:i/>
                            <w:lang w:val="en-US"/>
                          </w:rPr>
                        </m:ctrlPr>
                      </m:e>
                      <m:sub>
                        <m:r>
                          <m:rPr>
                            <m:sty m:val="p"/>
                          </m:rPr>
                          <w:rPr>
                            <w:rFonts w:ascii="Cambria Math" w:hAnsi="Cambria Math"/>
                            <w:lang w:val="en-US"/>
                          </w:rPr>
                          <m:t>C2</m:t>
                        </m:r>
                        <m:ctrlPr>
                          <w:rPr>
                            <w:rFonts w:ascii="Cambria Math" w:hAnsi="Cambria Math"/>
                            <w:i/>
                            <w:lang w:val="en-US"/>
                          </w:rPr>
                        </m:ctrlPr>
                      </m:sub>
                    </m:sSub>
                    <m:sSub>
                      <m:sSubPr>
                        <m:ctrlPr>
                          <w:rPr>
                            <w:rFonts w:ascii="Cambria Math" w:hAnsi="Cambria Math"/>
                            <w:i/>
                            <w:lang w:val="en-US"/>
                          </w:rPr>
                        </m:ctrlPr>
                      </m:sSubPr>
                      <m:e>
                        <m:r>
                          <w:rPr>
                            <w:rFonts w:ascii="Cambria Math" w:hAnsi="Cambria Math"/>
                            <w:lang w:val="en-US"/>
                          </w:rPr>
                          <m:t>+P</m:t>
                        </m:r>
                        <m:ctrlPr>
                          <w:rPr>
                            <w:rFonts w:ascii="Cambria Math" w:hAnsi="Cambria Math"/>
                            <w:i/>
                            <w:lang w:val="en-US"/>
                          </w:rPr>
                        </m:ctrlPr>
                      </m:e>
                      <m:sub>
                        <m:r>
                          <w:rPr>
                            <w:rFonts w:ascii="Cambria Math" w:hAnsi="Cambria Math"/>
                            <w:lang w:val="en-US"/>
                          </w:rPr>
                          <m:t>C</m:t>
                        </m:r>
                        <m:r>
                          <m:rPr>
                            <m:sty m:val="p"/>
                          </m:rPr>
                          <w:rPr>
                            <w:rFonts w:ascii="Cambria Math" w:hAnsi="Cambria Math"/>
                            <w:lang w:val="en-US"/>
                          </w:rPr>
                          <m:t xml:space="preserve">3 </m:t>
                        </m:r>
                        <m:ctrlPr>
                          <w:rPr>
                            <w:rFonts w:ascii="Cambria Math" w:hAnsi="Cambria Math"/>
                            <w:i/>
                            <w:lang w:val="en-US"/>
                          </w:rPr>
                        </m:ctrlP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ctrlPr>
                          <w:rPr>
                            <w:rFonts w:ascii="Cambria Math" w:hAnsi="Cambria Math"/>
                            <w:i/>
                            <w:lang w:val="en-US"/>
                          </w:rPr>
                        </m:ctrlPr>
                      </m:e>
                      <m:sub>
                        <m:r>
                          <m:rPr>
                            <m:sty m:val="p"/>
                          </m:rPr>
                          <w:rPr>
                            <w:rFonts w:ascii="Cambria Math" w:hAnsi="Cambria Math"/>
                            <w:lang w:val="en-US"/>
                          </w:rPr>
                          <m:t>C3</m:t>
                        </m:r>
                        <m:ctrlPr>
                          <w:rPr>
                            <w:rFonts w:ascii="Cambria Math" w:hAnsi="Cambria Math"/>
                            <w:i/>
                            <w:lang w:val="en-US"/>
                          </w:rPr>
                        </m:ctrlPr>
                      </m:sub>
                    </m:sSub>
                    <m:ctrlPr>
                      <w:rPr>
                        <w:rFonts w:ascii="Cambria Math" w:hAnsi="Cambria Math"/>
                        <w:lang w:val="en-US"/>
                      </w:rPr>
                    </m:ctrlPr>
                  </m:num>
                  <m:den>
                    <m:sSub>
                      <m:sSubPr>
                        <m:ctrlPr>
                          <w:rPr>
                            <w:rFonts w:ascii="Cambria Math" w:hAnsi="Cambria Math"/>
                            <w:i/>
                            <w:lang w:val="en-US"/>
                          </w:rPr>
                        </m:ctrlPr>
                      </m:sSubPr>
                      <m:e>
                        <m:r>
                          <w:rPr>
                            <w:rFonts w:ascii="Cambria Math" w:hAnsi="Cambria Math"/>
                            <w:lang w:val="en-US"/>
                          </w:rPr>
                          <m:t>A</m:t>
                        </m:r>
                        <m:ctrlPr>
                          <w:rPr>
                            <w:rFonts w:ascii="Cambria Math" w:hAnsi="Cambria Math"/>
                            <w:i/>
                            <w:lang w:val="en-US"/>
                          </w:rPr>
                        </m:ctrlPr>
                      </m:e>
                      <m:sub>
                        <m:r>
                          <m:rPr>
                            <m:sty m:val="p"/>
                          </m:rPr>
                          <w:rPr>
                            <w:rFonts w:ascii="Cambria Math" w:hAnsi="Cambria Math"/>
                            <w:lang w:val="en-US"/>
                          </w:rPr>
                          <m:t>C1</m:t>
                        </m:r>
                        <m:ctrlPr>
                          <w:rPr>
                            <w:rFonts w:ascii="Cambria Math" w:hAnsi="Cambria Math"/>
                            <w:i/>
                            <w:lang w:val="en-US"/>
                          </w:rPr>
                        </m:ctrlP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ctrlPr>
                          <w:rPr>
                            <w:rFonts w:ascii="Cambria Math" w:hAnsi="Cambria Math"/>
                            <w:i/>
                            <w:lang w:val="en-US"/>
                          </w:rPr>
                        </m:ctrlPr>
                      </m:e>
                      <m:sub>
                        <m:r>
                          <m:rPr>
                            <m:sty m:val="p"/>
                          </m:rPr>
                          <w:rPr>
                            <w:rFonts w:ascii="Cambria Math" w:hAnsi="Cambria Math"/>
                            <w:lang w:val="en-US"/>
                          </w:rPr>
                          <m:t>C2</m:t>
                        </m:r>
                        <m:ctrlPr>
                          <w:rPr>
                            <w:rFonts w:ascii="Cambria Math" w:hAnsi="Cambria Math"/>
                            <w:i/>
                            <w:lang w:val="en-US"/>
                          </w:rPr>
                        </m:ctrlP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ctrlPr>
                          <w:rPr>
                            <w:rFonts w:ascii="Cambria Math" w:hAnsi="Cambria Math"/>
                            <w:i/>
                            <w:lang w:val="en-US"/>
                          </w:rPr>
                        </m:ctrlPr>
                      </m:e>
                      <m:sub>
                        <m:r>
                          <m:rPr>
                            <m:sty m:val="p"/>
                          </m:rPr>
                          <w:rPr>
                            <w:rFonts w:ascii="Cambria Math" w:hAnsi="Cambria Math"/>
                            <w:lang w:val="en-US"/>
                          </w:rPr>
                          <m:t>C3</m:t>
                        </m:r>
                        <m:ctrlPr>
                          <w:rPr>
                            <w:rFonts w:ascii="Cambria Math" w:hAnsi="Cambria Math"/>
                            <w:i/>
                            <w:lang w:val="en-US"/>
                          </w:rPr>
                        </m:ctrlPr>
                      </m:sub>
                    </m:sSub>
                    <m:ctrlPr>
                      <w:rPr>
                        <w:rFonts w:ascii="Cambria Math" w:hAnsi="Cambria Math"/>
                        <w:lang w:val="en-US"/>
                      </w:rPr>
                    </m:ctrlPr>
                  </m:den>
                </m:f>
              </m:oMath>
            </m:oMathPara>
          </w:p>
        </w:tc>
        <w:tc>
          <w:tcPr>
            <w:tcW w:w="1081" w:type="dxa"/>
            <w:shd w:val="clear" w:color="auto" w:fill="auto"/>
            <w:vAlign w:val="center"/>
          </w:tcPr>
          <w:p>
            <w:pPr>
              <w:pStyle w:val="3"/>
              <w:ind w:firstLine="0" w:firstLineChars="0"/>
              <w:jc w:val="right"/>
              <w:rPr>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lang w:val="en-US"/>
              </w:rPr>
              <w:t>5.2</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tc>
      </w:tr>
    </w:tbl>
    <w:p>
      <w:pPr>
        <w:pStyle w:val="3"/>
        <w:ind w:firstLine="420"/>
        <w:rPr>
          <w:sz w:val="24"/>
          <w:lang w:val="en-US"/>
        </w:rPr>
      </w:pPr>
      <w:r>
        <w:rPr>
          <w:rFonts w:hint="eastAsia"/>
          <w:lang w:val="en-US"/>
        </w:rPr>
        <w:t>式中：</w:t>
      </w:r>
      <m:oMath>
        <m:sSub>
          <m:sSubPr>
            <m:ctrlPr>
              <w:rPr>
                <w:rFonts w:ascii="Cambria Math" w:hAnsi="Cambria Math"/>
                <w:i/>
                <w:sz w:val="24"/>
                <w:lang w:val="en-US"/>
              </w:rPr>
            </m:ctrlPr>
          </m:sSubPr>
          <m:e>
            <m:r>
              <w:rPr>
                <w:rFonts w:ascii="Cambria Math" w:hAnsi="Cambria Math"/>
                <w:sz w:val="24"/>
                <w:lang w:val="en-US"/>
              </w:rPr>
              <m:t>P</m:t>
            </m:r>
            <m:ctrlPr>
              <w:rPr>
                <w:rFonts w:ascii="Cambria Math" w:hAnsi="Cambria Math"/>
                <w:i/>
                <w:sz w:val="24"/>
                <w:lang w:val="en-US"/>
              </w:rPr>
            </m:ctrlPr>
          </m:e>
          <m:sub>
            <m:r>
              <m:rPr>
                <m:sty m:val="p"/>
              </m:rPr>
              <w:rPr>
                <w:rFonts w:ascii="Cambria Math" w:hAnsi="Cambria Math"/>
                <w:sz w:val="24"/>
                <w:lang w:val="en-US"/>
              </w:rPr>
              <m:t>C1</m:t>
            </m:r>
            <m:ctrlPr>
              <w:rPr>
                <w:rFonts w:ascii="Cambria Math" w:hAnsi="Cambria Math"/>
                <w:i/>
                <w:sz w:val="24"/>
                <w:lang w:val="en-US"/>
              </w:rPr>
            </m:ctrlPr>
          </m:sub>
        </m:sSub>
      </m:oMath>
      <w:r>
        <w:rPr>
          <w:rFonts w:hint="eastAsia"/>
          <w:sz w:val="24"/>
          <w:lang w:val="en-US"/>
        </w:rPr>
        <w:t>、</w:t>
      </w:r>
      <m:oMath>
        <m:sSub>
          <m:sSubPr>
            <m:ctrlPr>
              <w:rPr>
                <w:rFonts w:ascii="Cambria Math" w:hAnsi="Cambria Math"/>
                <w:i/>
                <w:sz w:val="24"/>
                <w:lang w:val="en-US"/>
              </w:rPr>
            </m:ctrlPr>
          </m:sSubPr>
          <m:e>
            <m:r>
              <w:rPr>
                <w:rFonts w:ascii="Cambria Math" w:hAnsi="Cambria Math"/>
                <w:sz w:val="24"/>
                <w:lang w:val="en-US"/>
              </w:rPr>
              <m:t>P</m:t>
            </m:r>
            <m:ctrlPr>
              <w:rPr>
                <w:rFonts w:ascii="Cambria Math" w:hAnsi="Cambria Math"/>
                <w:i/>
                <w:sz w:val="24"/>
                <w:lang w:val="en-US"/>
              </w:rPr>
            </m:ctrlPr>
          </m:e>
          <m:sub>
            <m:r>
              <m:rPr>
                <m:sty m:val="p"/>
              </m:rPr>
              <w:rPr>
                <w:rFonts w:ascii="Cambria Math" w:hAnsi="Cambria Math"/>
                <w:sz w:val="24"/>
                <w:lang w:val="en-US"/>
              </w:rPr>
              <m:t>C2</m:t>
            </m:r>
            <m:ctrlPr>
              <w:rPr>
                <w:rFonts w:ascii="Cambria Math" w:hAnsi="Cambria Math"/>
                <w:i/>
                <w:sz w:val="24"/>
                <w:lang w:val="en-US"/>
              </w:rPr>
            </m:ctrlPr>
          </m:sub>
        </m:sSub>
      </m:oMath>
      <w:r>
        <w:rPr>
          <w:rFonts w:hint="eastAsia"/>
          <w:sz w:val="24"/>
          <w:lang w:val="en-US"/>
        </w:rPr>
        <w:t xml:space="preserve">和 </w:t>
      </w:r>
      <m:oMath>
        <m:sSub>
          <m:sSubPr>
            <m:ctrlPr>
              <w:rPr>
                <w:rFonts w:ascii="Cambria Math" w:hAnsi="Cambria Math"/>
                <w:i/>
                <w:sz w:val="24"/>
                <w:lang w:val="en-US"/>
              </w:rPr>
            </m:ctrlPr>
          </m:sSubPr>
          <m:e>
            <m:r>
              <w:rPr>
                <w:rFonts w:ascii="Cambria Math" w:hAnsi="Cambria Math"/>
                <w:sz w:val="24"/>
                <w:lang w:val="en-US"/>
              </w:rPr>
              <m:t>P</m:t>
            </m:r>
            <m:ctrlPr>
              <w:rPr>
                <w:rFonts w:ascii="Cambria Math" w:hAnsi="Cambria Math"/>
                <w:i/>
                <w:sz w:val="24"/>
                <w:lang w:val="en-US"/>
              </w:rPr>
            </m:ctrlPr>
          </m:e>
          <m:sub>
            <m:r>
              <m:rPr>
                <m:sty m:val="p"/>
              </m:rPr>
              <w:rPr>
                <w:rFonts w:ascii="Cambria Math" w:hAnsi="Cambria Math"/>
                <w:sz w:val="24"/>
                <w:lang w:val="en-US"/>
              </w:rPr>
              <m:t>C3</m:t>
            </m:r>
            <m:ctrlPr>
              <w:rPr>
                <w:rFonts w:ascii="Cambria Math" w:hAnsi="Cambria Math"/>
                <w:i/>
                <w:sz w:val="24"/>
                <w:lang w:val="en-US"/>
              </w:rPr>
            </m:ctrlPr>
          </m:sub>
        </m:sSub>
      </m:oMath>
      <w:r>
        <w:rPr>
          <w:rFonts w:hint="eastAsia"/>
          <w:lang w:val="en-US"/>
        </w:rPr>
        <w:t>分别为窗户C1，C2，C3的平均风压值，而</w:t>
      </w:r>
      <m:oMath>
        <m:sSub>
          <m:sSubPr>
            <m:ctrlPr>
              <w:rPr>
                <w:rFonts w:ascii="Cambria Math" w:hAnsi="Cambria Math"/>
                <w:i/>
                <w:sz w:val="24"/>
                <w:lang w:val="en-US"/>
              </w:rPr>
            </m:ctrlPr>
          </m:sSubPr>
          <m:e>
            <m:r>
              <w:rPr>
                <w:rFonts w:ascii="Cambria Math" w:hAnsi="Cambria Math"/>
                <w:sz w:val="24"/>
                <w:lang w:val="en-US"/>
              </w:rPr>
              <m:t>A</m:t>
            </m:r>
            <m:ctrlPr>
              <w:rPr>
                <w:rFonts w:ascii="Cambria Math" w:hAnsi="Cambria Math"/>
                <w:i/>
                <w:sz w:val="24"/>
                <w:lang w:val="en-US"/>
              </w:rPr>
            </m:ctrlPr>
          </m:e>
          <m:sub>
            <m:r>
              <m:rPr>
                <m:sty m:val="p"/>
              </m:rPr>
              <w:rPr>
                <w:rFonts w:ascii="Cambria Math" w:hAnsi="Cambria Math"/>
                <w:sz w:val="24"/>
                <w:lang w:val="en-US"/>
              </w:rPr>
              <m:t>C1</m:t>
            </m:r>
            <m:ctrlPr>
              <w:rPr>
                <w:rFonts w:ascii="Cambria Math" w:hAnsi="Cambria Math"/>
                <w:i/>
                <w:sz w:val="24"/>
                <w:lang w:val="en-US"/>
              </w:rPr>
            </m:ctrlPr>
          </m:sub>
        </m:sSub>
      </m:oMath>
      <w:r>
        <w:rPr>
          <w:rFonts w:hint="eastAsia"/>
          <w:sz w:val="24"/>
          <w:lang w:val="en-US"/>
        </w:rPr>
        <w:t>、</w:t>
      </w:r>
      <m:oMath>
        <m:sSub>
          <m:sSubPr>
            <m:ctrlPr>
              <w:rPr>
                <w:rFonts w:ascii="Cambria Math" w:hAnsi="Cambria Math"/>
                <w:i/>
                <w:sz w:val="24"/>
                <w:lang w:val="en-US"/>
              </w:rPr>
            </m:ctrlPr>
          </m:sSubPr>
          <m:e>
            <m:r>
              <w:rPr>
                <w:rFonts w:ascii="Cambria Math" w:hAnsi="Cambria Math"/>
                <w:sz w:val="24"/>
                <w:lang w:val="en-US"/>
              </w:rPr>
              <m:t>A</m:t>
            </m:r>
            <m:ctrlPr>
              <w:rPr>
                <w:rFonts w:ascii="Cambria Math" w:hAnsi="Cambria Math"/>
                <w:i/>
                <w:sz w:val="24"/>
                <w:lang w:val="en-US"/>
              </w:rPr>
            </m:ctrlPr>
          </m:e>
          <m:sub>
            <m:r>
              <m:rPr>
                <m:sty m:val="p"/>
              </m:rPr>
              <w:rPr>
                <w:rFonts w:ascii="Cambria Math" w:hAnsi="Cambria Math"/>
                <w:sz w:val="24"/>
                <w:lang w:val="en-US"/>
              </w:rPr>
              <m:t>C2</m:t>
            </m:r>
            <m:ctrlPr>
              <w:rPr>
                <w:rFonts w:ascii="Cambria Math" w:hAnsi="Cambria Math"/>
                <w:i/>
                <w:sz w:val="24"/>
                <w:lang w:val="en-US"/>
              </w:rPr>
            </m:ctrlPr>
          </m:sub>
        </m:sSub>
      </m:oMath>
      <w:r>
        <w:rPr>
          <w:rFonts w:hint="eastAsia"/>
          <w:sz w:val="24"/>
          <w:lang w:val="en-US"/>
        </w:rPr>
        <w:t xml:space="preserve">和 </w:t>
      </w:r>
      <m:oMath>
        <m:sSub>
          <m:sSubPr>
            <m:ctrlPr>
              <w:rPr>
                <w:rFonts w:ascii="Cambria Math" w:hAnsi="Cambria Math"/>
                <w:i/>
                <w:sz w:val="24"/>
                <w:lang w:val="en-US"/>
              </w:rPr>
            </m:ctrlPr>
          </m:sSubPr>
          <m:e>
            <m:r>
              <w:rPr>
                <w:rFonts w:ascii="Cambria Math" w:hAnsi="Cambria Math"/>
                <w:sz w:val="24"/>
                <w:lang w:val="en-US"/>
              </w:rPr>
              <m:t>A</m:t>
            </m:r>
            <m:ctrlPr>
              <w:rPr>
                <w:rFonts w:ascii="Cambria Math" w:hAnsi="Cambria Math"/>
                <w:i/>
                <w:sz w:val="24"/>
                <w:lang w:val="en-US"/>
              </w:rPr>
            </m:ctrlPr>
          </m:e>
          <m:sub>
            <m:r>
              <m:rPr>
                <m:sty m:val="p"/>
              </m:rPr>
              <w:rPr>
                <w:rFonts w:ascii="Cambria Math" w:hAnsi="Cambria Math"/>
                <w:sz w:val="24"/>
                <w:lang w:val="en-US"/>
              </w:rPr>
              <m:t>C3</m:t>
            </m:r>
            <m:ctrlPr>
              <w:rPr>
                <w:rFonts w:ascii="Cambria Math" w:hAnsi="Cambria Math"/>
                <w:i/>
                <w:sz w:val="24"/>
                <w:lang w:val="en-US"/>
              </w:rPr>
            </m:ctrlPr>
          </m:sub>
        </m:sSub>
      </m:oMath>
      <w:r>
        <w:rPr>
          <w:rFonts w:hint="eastAsia"/>
          <w:lang w:val="en-US"/>
        </w:rPr>
        <w:t>为各个窗户的面积</w:t>
      </w:r>
      <w:r>
        <w:rPr>
          <w:rFonts w:hint="eastAsia"/>
          <w:sz w:val="24"/>
          <w:lang w:val="en-US"/>
        </w:rPr>
        <w:t>，</w:t>
      </w:r>
      <m:oMath>
        <m:sSub>
          <m:sSubPr>
            <m:ctrlPr>
              <w:rPr>
                <w:rFonts w:ascii="Cambria Math" w:hAnsi="Cambria Math"/>
                <w:i/>
                <w:sz w:val="24"/>
                <w:lang w:val="en-US"/>
              </w:rPr>
            </m:ctrlPr>
          </m:sSubPr>
          <m:e>
            <m:r>
              <w:rPr>
                <w:rFonts w:ascii="Cambria Math" w:hAnsi="Cambria Math"/>
                <w:sz w:val="24"/>
                <w:lang w:val="en-US"/>
              </w:rPr>
              <m:t>P</m:t>
            </m:r>
            <m:ctrlPr>
              <w:rPr>
                <w:rFonts w:ascii="Cambria Math" w:hAnsi="Cambria Math"/>
                <w:i/>
                <w:sz w:val="24"/>
                <w:lang w:val="en-US"/>
              </w:rPr>
            </m:ctrlPr>
          </m:e>
          <m:sub>
            <m:r>
              <m:rPr>
                <m:sty m:val="p"/>
              </m:rPr>
              <w:rPr>
                <w:rFonts w:ascii="Cambria Math" w:hAnsi="Cambria Math"/>
                <w:sz w:val="24"/>
                <w:lang w:val="en-US"/>
              </w:rPr>
              <m:t>up</m:t>
            </m:r>
            <m:ctrlPr>
              <w:rPr>
                <w:rFonts w:ascii="Cambria Math" w:hAnsi="Cambria Math"/>
                <w:i/>
                <w:sz w:val="24"/>
                <w:lang w:val="en-US"/>
              </w:rPr>
            </m:ctrlPr>
          </m:sub>
        </m:sSub>
      </m:oMath>
      <w:r>
        <w:rPr>
          <w:rFonts w:hint="eastAsia"/>
          <w:lang w:val="en-US"/>
        </w:rPr>
        <w:t>为迎风面窗户平均风压。</w:t>
      </w:r>
    </w:p>
    <w:p>
      <w:pPr>
        <w:pStyle w:val="3"/>
        <w:spacing w:after="156" w:afterLines="50"/>
        <w:ind w:firstLine="420"/>
        <w:rPr>
          <w:lang w:val="en-US"/>
        </w:rPr>
      </w:pPr>
      <w:r>
        <w:rPr>
          <w:rFonts w:hint="eastAsia"/>
          <w:lang w:val="en-US"/>
        </w:rPr>
        <w:t>背风面窗户平均风压与迎风面窗户平均风压计算公式相同，在此不再赘述。上述以一个示意建筑为例说明了本项目目标建筑迎风面与背风面风压差的计算过程，下面将给出本项目各个目标建筑的迎背风面风压差计算结果。</w:t>
      </w:r>
    </w:p>
    <w:p>
      <w:pPr>
        <w:pStyle w:val="6"/>
      </w:pPr>
      <w:bookmarkStart w:id="80" w:name="建筑迎风面和背风面风压差计算结果"/>
      <w:r>
        <w:rPr>
          <w:rFonts w:hint="eastAsia"/>
        </w:rPr>
        <w:t>建筑迎风面和背风面风压差计算结果</w:t>
      </w:r>
    </w:p>
    <w:p>
      <w:pPr>
        <w:jc w:val="center"/>
        <w:rPr>
          <w:rFonts w:ascii="Cambria" w:hAnsi="Cambria" w:eastAsia="黑体"/>
          <w:sz w:val="20"/>
        </w:rPr>
      </w:pPr>
      <w:r>
        <w:rPr>
          <w:rFonts w:hint="eastAsia" w:ascii="Cambria" w:hAnsi="Cambria" w:eastAsia="黑体"/>
          <w:sz w:val="20"/>
        </w:rPr>
        <w:t>表</w:t>
      </w:r>
      <w:r>
        <w:rPr>
          <w:rFonts w:ascii="Cambria" w:hAnsi="Cambria" w:eastAsia="黑体"/>
          <w:sz w:val="20"/>
        </w:rPr>
        <w:t xml:space="preserve"> </w:t>
      </w:r>
      <w:r>
        <w:rPr>
          <w:rFonts w:ascii="Cambria" w:hAnsi="Cambria" w:eastAsia="黑体"/>
          <w:sz w:val="20"/>
        </w:rPr>
        <w:fldChar w:fldCharType="begin"/>
      </w:r>
      <w:r>
        <w:rPr>
          <w:rFonts w:ascii="Cambria" w:hAnsi="Cambria" w:eastAsia="黑体"/>
          <w:sz w:val="20"/>
        </w:rPr>
        <w:instrText xml:space="preserve"> STYLEREF 2 \s </w:instrText>
      </w:r>
      <w:r>
        <w:rPr>
          <w:rFonts w:ascii="Cambria" w:hAnsi="Cambria" w:eastAsia="黑体"/>
          <w:sz w:val="20"/>
        </w:rPr>
        <w:fldChar w:fldCharType="separate"/>
      </w:r>
      <w:r>
        <w:rPr>
          <w:rFonts w:ascii="Cambria" w:hAnsi="Cambria" w:eastAsia="黑体"/>
          <w:sz w:val="20"/>
        </w:rPr>
        <w:t>5.2</w:t>
      </w:r>
      <w:r>
        <w:rPr>
          <w:rFonts w:ascii="Cambria" w:hAnsi="Cambria" w:eastAsia="黑体"/>
          <w:sz w:val="20"/>
        </w:rPr>
        <w:fldChar w:fldCharType="end"/>
      </w:r>
      <w:r>
        <w:rPr>
          <w:rFonts w:ascii="Cambria" w:hAnsi="Cambria" w:eastAsia="黑体"/>
          <w:sz w:val="20"/>
        </w:rPr>
        <w:noBreakHyphen/>
      </w:r>
      <w:r>
        <w:rPr>
          <w:rFonts w:ascii="Cambria" w:hAnsi="Cambria" w:eastAsia="黑体"/>
          <w:sz w:val="20"/>
        </w:rPr>
        <w:fldChar w:fldCharType="begin"/>
      </w:r>
      <w:r>
        <w:rPr>
          <w:rFonts w:ascii="Cambria" w:hAnsi="Cambria" w:eastAsia="黑体"/>
          <w:sz w:val="20"/>
        </w:rPr>
        <w:instrText xml:space="preserve"> SEQ </w:instrText>
      </w:r>
      <w:r>
        <w:rPr>
          <w:rFonts w:hint="eastAsia" w:ascii="Cambria" w:hAnsi="Cambria" w:eastAsia="黑体"/>
          <w:sz w:val="20"/>
        </w:rPr>
        <w:instrText xml:space="preserve">表</w:instrText>
      </w:r>
      <w:r>
        <w:rPr>
          <w:rFonts w:ascii="Cambria" w:hAnsi="Cambria" w:eastAsia="黑体"/>
          <w:sz w:val="20"/>
        </w:rPr>
        <w:instrText xml:space="preserve"> \* ARABIC \s 2 </w:instrText>
      </w:r>
      <w:r>
        <w:rPr>
          <w:rFonts w:ascii="Cambria" w:hAnsi="Cambria" w:eastAsia="黑体"/>
          <w:sz w:val="20"/>
        </w:rPr>
        <w:fldChar w:fldCharType="separate"/>
      </w:r>
      <w:r>
        <w:rPr>
          <w:rFonts w:ascii="Cambria" w:hAnsi="Cambria" w:eastAsia="黑体"/>
          <w:sz w:val="20"/>
        </w:rPr>
        <w:t>3</w:t>
      </w:r>
      <w:r>
        <w:rPr>
          <w:rFonts w:ascii="Cambria" w:hAnsi="Cambria" w:eastAsia="黑体"/>
          <w:sz w:val="20"/>
        </w:rPr>
        <w:fldChar w:fldCharType="end"/>
      </w:r>
      <w:r>
        <w:rPr>
          <w:rFonts w:ascii="Cambria" w:hAnsi="Cambria" w:eastAsia="黑体"/>
          <w:sz w:val="20"/>
        </w:rPr>
        <w:t xml:space="preserve">  </w:t>
      </w:r>
      <w:r>
        <w:rPr>
          <w:rFonts w:hint="eastAsia" w:ascii="Cambria" w:hAnsi="Cambria" w:eastAsia="黑体"/>
          <w:sz w:val="20"/>
        </w:rPr>
        <w:t>建筑</w:t>
      </w:r>
      <w:r>
        <w:rPr>
          <w:rFonts w:ascii="Cambria" w:hAnsi="Cambria" w:eastAsia="黑体"/>
          <w:sz w:val="20"/>
        </w:rPr>
        <w:t>-小学(小学\小学节能)</w:t>
      </w:r>
      <w:r>
        <w:rPr>
          <w:rFonts w:hint="eastAsia" w:ascii="Cambria" w:hAnsi="Cambria" w:eastAsia="黑体"/>
          <w:sz w:val="20"/>
        </w:rPr>
        <w:t>迎背风面窗平均风压差表</w:t>
      </w:r>
    </w:p>
    <w:tbl>
      <w:tblPr>
        <w:tblStyle w:val="22"/>
        <w:tblW w:w="9057"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1261"/>
        <w:gridCol w:w="2410"/>
        <w:gridCol w:w="2693"/>
        <w:gridCol w:w="2693"/>
      </w:tblGrid>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261" w:type="dxa"/>
            <w:tcBorders>
              <w:top w:val="single" w:color="auto" w:sz="12" w:space="0"/>
              <w:left w:val="single" w:color="auto" w:sz="12" w:space="0"/>
              <w:bottom w:val="single" w:color="auto" w:sz="4" w:space="0"/>
              <w:right w:val="single" w:color="auto" w:sz="4" w:space="0"/>
            </w:tcBorders>
            <w:shd w:val="clear" w:color="auto" w:fill="E6E6E6"/>
            <w:vAlign w:val="center"/>
          </w:tcPr>
          <w:p>
            <w:pPr>
              <w:spacing w:line="360" w:lineRule="exact"/>
              <w:jc w:val="center"/>
              <w:rPr>
                <w:lang w:val="en-US"/>
              </w:rPr>
            </w:pPr>
            <w:r>
              <w:rPr>
                <w:rFonts w:hint="eastAsia"/>
                <w:lang w:val="en-US"/>
              </w:rPr>
              <w:t>区域</w:t>
            </w:r>
          </w:p>
        </w:tc>
        <w:tc>
          <w:tcPr>
            <w:tcW w:w="2410" w:type="dxa"/>
            <w:tcBorders>
              <w:top w:val="single" w:color="auto" w:sz="12" w:space="0"/>
              <w:left w:val="single" w:color="auto" w:sz="4" w:space="0"/>
              <w:bottom w:val="single" w:color="auto" w:sz="4" w:space="0"/>
              <w:right w:val="single" w:color="auto" w:sz="4" w:space="0"/>
            </w:tcBorders>
            <w:shd w:val="clear" w:color="auto" w:fill="E6E6E6"/>
            <w:vAlign w:val="center"/>
          </w:tcPr>
          <w:p>
            <w:pPr>
              <w:spacing w:line="360" w:lineRule="exact"/>
              <w:jc w:val="center"/>
              <w:rPr>
                <w:lang w:val="en-US"/>
              </w:rPr>
            </w:pPr>
            <w:r>
              <w:rPr>
                <w:rFonts w:hint="eastAsia"/>
                <w:lang w:val="en-US"/>
              </w:rPr>
              <w:t>迎风面窗平均风压</w:t>
            </w:r>
            <w:r>
              <w:rPr>
                <w:lang w:val="en-US"/>
              </w:rPr>
              <w:t>(Pa)</w:t>
            </w:r>
          </w:p>
        </w:tc>
        <w:tc>
          <w:tcPr>
            <w:tcW w:w="2693" w:type="dxa"/>
            <w:tcBorders>
              <w:top w:val="single" w:color="auto" w:sz="12" w:space="0"/>
              <w:left w:val="single" w:color="auto" w:sz="4" w:space="0"/>
              <w:bottom w:val="single" w:color="auto" w:sz="4" w:space="0"/>
              <w:right w:val="single" w:color="auto" w:sz="4" w:space="0"/>
            </w:tcBorders>
            <w:shd w:val="clear" w:color="auto" w:fill="E6E6E6"/>
            <w:vAlign w:val="center"/>
          </w:tcPr>
          <w:p>
            <w:pPr>
              <w:spacing w:line="360" w:lineRule="exact"/>
              <w:jc w:val="center"/>
              <w:rPr>
                <w:lang w:val="en-US"/>
              </w:rPr>
            </w:pPr>
            <w:r>
              <w:rPr>
                <w:rFonts w:hint="eastAsia"/>
                <w:lang w:val="en-US"/>
              </w:rPr>
              <w:t>背风面窗平均风压</w:t>
            </w:r>
            <w:r>
              <w:rPr>
                <w:lang w:val="en-US"/>
              </w:rPr>
              <w:t>(Pa)</w:t>
            </w:r>
          </w:p>
        </w:tc>
        <w:tc>
          <w:tcPr>
            <w:tcW w:w="2693" w:type="dxa"/>
            <w:tcBorders>
              <w:top w:val="single" w:color="auto" w:sz="12" w:space="0"/>
              <w:left w:val="single" w:color="auto" w:sz="4" w:space="0"/>
              <w:bottom w:val="single" w:color="auto" w:sz="4" w:space="0"/>
              <w:right w:val="single" w:color="auto" w:sz="12" w:space="0"/>
            </w:tcBorders>
            <w:shd w:val="clear" w:color="auto" w:fill="E6E6E6"/>
            <w:vAlign w:val="center"/>
          </w:tcPr>
          <w:p>
            <w:pPr>
              <w:spacing w:line="360" w:lineRule="exact"/>
              <w:jc w:val="center"/>
              <w:rPr>
                <w:lang w:val="en-US"/>
              </w:rPr>
            </w:pPr>
            <w:r>
              <w:rPr>
                <w:rFonts w:hint="eastAsia"/>
                <w:lang w:val="en-US"/>
              </w:rPr>
              <w:t>迎背风面窗平均风压差</w:t>
            </w:r>
            <w:r>
              <w:rPr>
                <w:lang w:val="en-US"/>
              </w:rPr>
              <w:t>(Pa)</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261" w:type="dxa"/>
            <w:tcBorders>
              <w:top w:val="single" w:color="auto" w:sz="4" w:space="0"/>
              <w:left w:val="single" w:color="auto" w:sz="12" w:space="0"/>
              <w:bottom w:val="single" w:color="auto" w:sz="4" w:space="0"/>
              <w:right w:val="single" w:color="auto" w:sz="4" w:space="0"/>
            </w:tcBorders>
            <w:vAlign w:val="center"/>
          </w:tcPr>
          <w:p>
            <w:pPr>
              <w:spacing w:line="360" w:lineRule="exact"/>
              <w:jc w:val="center"/>
              <w:rPr>
                <w:lang w:val="en-US"/>
              </w:rPr>
            </w:pPr>
            <w:r>
              <w:rPr>
                <w:rFonts w:hint="eastAsia"/>
                <w:lang w:val="en-US"/>
              </w:rPr>
              <w:t>1层</w:t>
            </w:r>
          </w:p>
        </w:tc>
        <w:tc>
          <w:tcPr>
            <w:tcW w:w="2410"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lang w:val="en-US"/>
              </w:rPr>
            </w:pPr>
            <w:r>
              <w:rPr>
                <w:lang w:val="en-US"/>
              </w:rPr>
              <w:t>-1.47</w:t>
            </w:r>
          </w:p>
        </w:tc>
        <w:tc>
          <w:tcPr>
            <w:tcW w:w="2693"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lang w:val="en-US"/>
              </w:rPr>
            </w:pPr>
            <w:r>
              <w:rPr>
                <w:lang w:val="en-US"/>
              </w:rPr>
              <w:t>-3.42</w:t>
            </w:r>
          </w:p>
        </w:tc>
        <w:tc>
          <w:tcPr>
            <w:tcW w:w="2693" w:type="dxa"/>
            <w:tcBorders>
              <w:top w:val="single" w:color="auto" w:sz="4" w:space="0"/>
              <w:left w:val="single" w:color="auto" w:sz="4" w:space="0"/>
              <w:bottom w:val="single" w:color="auto" w:sz="4" w:space="0"/>
              <w:right w:val="single" w:color="auto" w:sz="12" w:space="0"/>
            </w:tcBorders>
            <w:vAlign w:val="center"/>
          </w:tcPr>
          <w:p>
            <w:pPr>
              <w:spacing w:line="360" w:lineRule="exact"/>
              <w:jc w:val="center"/>
              <w:rPr>
                <w:lang w:val="en-US"/>
              </w:rPr>
            </w:pPr>
            <w:r>
              <w:rPr>
                <w:lang w:val="en-US"/>
              </w:rPr>
              <w:t>1.95</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261" w:type="dxa"/>
            <w:tcBorders>
              <w:top w:val="single" w:color="auto" w:sz="4" w:space="0"/>
              <w:left w:val="single" w:color="auto" w:sz="12" w:space="0"/>
              <w:bottom w:val="single" w:color="auto" w:sz="4" w:space="0"/>
              <w:right w:val="single" w:color="auto" w:sz="4" w:space="0"/>
            </w:tcBorders>
            <w:vAlign w:val="center"/>
          </w:tcPr>
          <w:p>
            <w:pPr>
              <w:spacing w:line="360" w:lineRule="exact"/>
              <w:jc w:val="center"/>
              <w:rPr>
                <w:lang w:val="en-US"/>
              </w:rPr>
            </w:pPr>
            <w:r>
              <w:rPr>
                <w:lang w:val="en-US"/>
              </w:rPr>
              <w:t>2层</w:t>
            </w:r>
          </w:p>
        </w:tc>
        <w:tc>
          <w:tcPr>
            <w:tcW w:w="2410"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lang w:val="en-US"/>
              </w:rPr>
            </w:pPr>
            <w:r>
              <w:rPr>
                <w:lang w:val="en-US"/>
              </w:rPr>
              <w:t>-1.52</w:t>
            </w:r>
          </w:p>
        </w:tc>
        <w:tc>
          <w:tcPr>
            <w:tcW w:w="2693"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lang w:val="en-US"/>
              </w:rPr>
            </w:pPr>
            <w:r>
              <w:rPr>
                <w:lang w:val="en-US"/>
              </w:rPr>
              <w:t>-3.39</w:t>
            </w:r>
          </w:p>
        </w:tc>
        <w:tc>
          <w:tcPr>
            <w:tcW w:w="2693" w:type="dxa"/>
            <w:tcBorders>
              <w:top w:val="single" w:color="auto" w:sz="4" w:space="0"/>
              <w:left w:val="single" w:color="auto" w:sz="4" w:space="0"/>
              <w:bottom w:val="single" w:color="auto" w:sz="4" w:space="0"/>
              <w:right w:val="single" w:color="auto" w:sz="12" w:space="0"/>
            </w:tcBorders>
            <w:vAlign w:val="center"/>
          </w:tcPr>
          <w:p>
            <w:pPr>
              <w:spacing w:line="360" w:lineRule="exact"/>
              <w:jc w:val="center"/>
              <w:rPr>
                <w:lang w:val="en-US"/>
              </w:rPr>
            </w:pPr>
            <w:r>
              <w:rPr>
                <w:lang w:val="en-US"/>
              </w:rPr>
              <w:t>1.87</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261" w:type="dxa"/>
            <w:tcBorders>
              <w:top w:val="single" w:color="auto" w:sz="4" w:space="0"/>
              <w:left w:val="single" w:color="auto" w:sz="12" w:space="0"/>
              <w:bottom w:val="single" w:color="auto" w:sz="4" w:space="0"/>
              <w:right w:val="single" w:color="auto" w:sz="4" w:space="0"/>
            </w:tcBorders>
            <w:vAlign w:val="center"/>
          </w:tcPr>
          <w:p>
            <w:pPr>
              <w:spacing w:line="360" w:lineRule="exact"/>
              <w:jc w:val="center"/>
              <w:rPr>
                <w:lang w:val="en-US"/>
              </w:rPr>
            </w:pPr>
            <w:r>
              <w:rPr>
                <w:lang w:val="en-US"/>
              </w:rPr>
              <w:t>3层</w:t>
            </w:r>
          </w:p>
        </w:tc>
        <w:tc>
          <w:tcPr>
            <w:tcW w:w="2410"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lang w:val="en-US"/>
              </w:rPr>
            </w:pPr>
            <w:r>
              <w:rPr>
                <w:lang w:val="en-US"/>
              </w:rPr>
              <w:t>-1.13</w:t>
            </w:r>
          </w:p>
        </w:tc>
        <w:tc>
          <w:tcPr>
            <w:tcW w:w="2693"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lang w:val="en-US"/>
              </w:rPr>
            </w:pPr>
            <w:r>
              <w:rPr>
                <w:lang w:val="en-US"/>
              </w:rPr>
              <w:t>-3.57</w:t>
            </w:r>
          </w:p>
        </w:tc>
        <w:tc>
          <w:tcPr>
            <w:tcW w:w="2693" w:type="dxa"/>
            <w:tcBorders>
              <w:top w:val="single" w:color="auto" w:sz="4" w:space="0"/>
              <w:left w:val="single" w:color="auto" w:sz="4" w:space="0"/>
              <w:bottom w:val="single" w:color="auto" w:sz="4" w:space="0"/>
              <w:right w:val="single" w:color="auto" w:sz="12" w:space="0"/>
            </w:tcBorders>
            <w:vAlign w:val="center"/>
          </w:tcPr>
          <w:p>
            <w:pPr>
              <w:spacing w:line="360" w:lineRule="exact"/>
              <w:jc w:val="center"/>
              <w:rPr>
                <w:lang w:val="en-US"/>
              </w:rPr>
            </w:pPr>
            <w:r>
              <w:rPr>
                <w:lang w:val="en-US"/>
              </w:rPr>
              <w:t>2.44</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1261" w:type="dxa"/>
            <w:tcBorders>
              <w:top w:val="single" w:color="auto" w:sz="4" w:space="0"/>
              <w:left w:val="single" w:color="auto" w:sz="12" w:space="0"/>
              <w:bottom w:val="single" w:color="auto" w:sz="12" w:space="0"/>
              <w:right w:val="single" w:color="auto" w:sz="4" w:space="0"/>
            </w:tcBorders>
            <w:vAlign w:val="center"/>
          </w:tcPr>
          <w:p>
            <w:pPr>
              <w:spacing w:line="360" w:lineRule="exact"/>
              <w:jc w:val="center"/>
              <w:rPr>
                <w:lang w:val="en-US"/>
              </w:rPr>
            </w:pPr>
            <w:r>
              <w:rPr>
                <w:rFonts w:hint="eastAsia"/>
                <w:lang w:val="en-US"/>
              </w:rPr>
              <w:t>整楼</w:t>
            </w:r>
          </w:p>
        </w:tc>
        <w:tc>
          <w:tcPr>
            <w:tcW w:w="2410" w:type="dxa"/>
            <w:tcBorders>
              <w:top w:val="single" w:color="auto" w:sz="4" w:space="0"/>
              <w:left w:val="single" w:color="auto" w:sz="4" w:space="0"/>
              <w:bottom w:val="single" w:color="auto" w:sz="12" w:space="0"/>
              <w:right w:val="single" w:color="auto" w:sz="4" w:space="0"/>
            </w:tcBorders>
            <w:vAlign w:val="center"/>
          </w:tcPr>
          <w:p>
            <w:pPr>
              <w:spacing w:line="360" w:lineRule="exact"/>
              <w:jc w:val="center"/>
              <w:rPr>
                <w:lang w:val="en-US"/>
              </w:rPr>
            </w:pPr>
            <w:r>
              <w:rPr>
                <w:lang w:val="en-US"/>
              </w:rPr>
              <w:t>-1.17</w:t>
            </w:r>
          </w:p>
        </w:tc>
        <w:tc>
          <w:tcPr>
            <w:tcW w:w="2693" w:type="dxa"/>
            <w:tcBorders>
              <w:top w:val="single" w:color="auto" w:sz="4" w:space="0"/>
              <w:left w:val="single" w:color="auto" w:sz="4" w:space="0"/>
              <w:bottom w:val="single" w:color="auto" w:sz="12" w:space="0"/>
              <w:right w:val="single" w:color="auto" w:sz="4" w:space="0"/>
            </w:tcBorders>
            <w:vAlign w:val="center"/>
          </w:tcPr>
          <w:p>
            <w:pPr>
              <w:spacing w:line="360" w:lineRule="exact"/>
              <w:jc w:val="center"/>
              <w:rPr>
                <w:lang w:val="en-US"/>
              </w:rPr>
            </w:pPr>
            <w:r>
              <w:rPr>
                <w:lang w:val="en-US"/>
              </w:rPr>
              <w:t>-3.45</w:t>
            </w:r>
          </w:p>
        </w:tc>
        <w:tc>
          <w:tcPr>
            <w:tcW w:w="2693" w:type="dxa"/>
            <w:tcBorders>
              <w:top w:val="single" w:color="auto" w:sz="4" w:space="0"/>
              <w:left w:val="single" w:color="auto" w:sz="4" w:space="0"/>
              <w:bottom w:val="single" w:color="auto" w:sz="12" w:space="0"/>
              <w:right w:val="single" w:color="auto" w:sz="12" w:space="0"/>
            </w:tcBorders>
            <w:vAlign w:val="center"/>
          </w:tcPr>
          <w:p>
            <w:pPr>
              <w:spacing w:line="360" w:lineRule="exact"/>
              <w:jc w:val="center"/>
              <w:rPr>
                <w:lang w:val="en-US"/>
              </w:rPr>
            </w:pPr>
            <w:r>
              <w:rPr>
                <w:lang w:val="en-US"/>
              </w:rPr>
              <w:t>2.28</w:t>
            </w:r>
          </w:p>
        </w:tc>
      </w:tr>
    </w:tbl>
    <w:p>
      <w:pPr>
        <w:rPr>
          <w:rFonts w:ascii="Cambria" w:hAnsi="Cambria" w:eastAsia="黑体"/>
          <w:sz w:val="20"/>
        </w:rPr>
      </w:pPr>
      <w:r>
        <w:t>标准要求：迎背风面窗平均风压差（绝对值）≤5Pa。结论：该楼</w:t>
      </w:r>
      <w:r>
        <w:rPr>
          <w:b/>
          <w:color w:val="0000FF"/>
        </w:rPr>
        <w:t>达标</w:t>
      </w:r>
      <w:r>
        <w:t>。</w:t>
      </w:r>
      <w:bookmarkEnd w:id="80"/>
      <w:bookmarkStart w:id="81" w:name="建筑迎背风面风压差表_新增"/>
      <w:bookmarkEnd w:id="81"/>
      <w:bookmarkStart w:id="82" w:name="建筑迎背风面风压差表"/>
    </w:p>
    <w:bookmarkEnd w:id="82"/>
    <w:p>
      <w:pPr>
        <w:pStyle w:val="6"/>
      </w:pPr>
      <w:r>
        <w:rPr>
          <w:rFonts w:hint="eastAsia"/>
        </w:rPr>
        <w:t>建筑迎风和背风面风压差结论汇总</w:t>
      </w:r>
    </w:p>
    <w:p>
      <w:pPr>
        <w:pStyle w:val="13"/>
        <w:jc w:val="center"/>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5</w:t>
      </w:r>
      <w:r>
        <w:fldChar w:fldCharType="end"/>
      </w:r>
      <w:r>
        <w:rPr>
          <w:rFonts w:hint="eastAsia"/>
        </w:rPr>
        <w:t xml:space="preserve">  建筑迎风和背风面风压差结论汇总表</w:t>
      </w:r>
    </w:p>
    <w:tbl>
      <w:tblPr>
        <w:tblStyle w:val="21"/>
        <w:tblW w:w="9303" w:type="dxa"/>
        <w:tblInd w:w="-123"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4077"/>
        <w:gridCol w:w="1276"/>
        <w:gridCol w:w="1276"/>
        <w:gridCol w:w="1701"/>
        <w:gridCol w:w="973"/>
      </w:tblGrid>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4077" w:type="dxa"/>
            <w:shd w:val="clear" w:color="auto" w:fill="E6E6E6"/>
            <w:vAlign w:val="center"/>
          </w:tcPr>
          <w:p>
            <w:pPr>
              <w:jc w:val="center"/>
              <w:rPr>
                <w:lang w:val="en-US"/>
              </w:rPr>
            </w:pPr>
            <w:bookmarkStart w:id="83" w:name="建筑迎风和背风面风压差结论汇总表"/>
            <w:r>
              <w:rPr>
                <w:rFonts w:hint="eastAsia"/>
                <w:lang w:val="en-US"/>
              </w:rPr>
              <w:t>建筑编号</w:t>
            </w:r>
          </w:p>
        </w:tc>
        <w:tc>
          <w:tcPr>
            <w:tcW w:w="1276" w:type="dxa"/>
            <w:shd w:val="clear" w:color="auto" w:fill="E6E6E6"/>
            <w:vAlign w:val="center"/>
          </w:tcPr>
          <w:p>
            <w:pPr>
              <w:jc w:val="center"/>
              <w:rPr>
                <w:lang w:val="en-US"/>
              </w:rPr>
            </w:pPr>
            <w:r>
              <w:rPr>
                <w:rFonts w:hint="eastAsia"/>
                <w:lang w:val="en-US"/>
              </w:rPr>
              <w:t>迎风面平均风压(Pa)</w:t>
            </w:r>
          </w:p>
        </w:tc>
        <w:tc>
          <w:tcPr>
            <w:tcW w:w="1276" w:type="dxa"/>
            <w:shd w:val="clear" w:color="auto" w:fill="E6E6E6"/>
            <w:vAlign w:val="center"/>
          </w:tcPr>
          <w:p>
            <w:pPr>
              <w:jc w:val="center"/>
              <w:rPr>
                <w:lang w:val="en-US"/>
              </w:rPr>
            </w:pPr>
            <w:r>
              <w:rPr>
                <w:rFonts w:hint="eastAsia"/>
                <w:lang w:val="en-US"/>
              </w:rPr>
              <w:t>背风面平均风压(Pa)</w:t>
            </w:r>
          </w:p>
        </w:tc>
        <w:tc>
          <w:tcPr>
            <w:tcW w:w="1701" w:type="dxa"/>
            <w:shd w:val="clear" w:color="auto" w:fill="E6E6E6"/>
            <w:vAlign w:val="center"/>
          </w:tcPr>
          <w:p>
            <w:pPr>
              <w:jc w:val="center"/>
              <w:rPr>
                <w:lang w:val="en-US"/>
              </w:rPr>
            </w:pPr>
            <w:r>
              <w:rPr>
                <w:rFonts w:hint="eastAsia"/>
                <w:lang w:val="en-US"/>
              </w:rPr>
              <w:t>建筑迎风和背风面风压差(Pa)</w:t>
            </w:r>
          </w:p>
        </w:tc>
        <w:tc>
          <w:tcPr>
            <w:tcW w:w="973" w:type="dxa"/>
            <w:shd w:val="clear" w:color="auto" w:fill="E6E6E6"/>
            <w:vAlign w:val="center"/>
          </w:tcPr>
          <w:p>
            <w:pPr>
              <w:jc w:val="center"/>
              <w:rPr>
                <w:lang w:val="en-US"/>
              </w:rPr>
            </w:pPr>
            <w:r>
              <w:rPr>
                <w:rFonts w:hint="eastAsia"/>
                <w:lang w:val="en-US"/>
              </w:rPr>
              <w:t>是否达标</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4077" w:type="dxa"/>
            <w:shd w:val="clear" w:color="auto" w:fill="auto"/>
            <w:vAlign w:val="center"/>
          </w:tcPr>
          <w:p>
            <w:pPr>
              <w:jc w:val="center"/>
              <w:rPr>
                <w:lang w:val="en-US"/>
              </w:rPr>
            </w:pPr>
            <w:r>
              <w:rPr>
                <w:lang w:val="en-US"/>
              </w:rPr>
              <w:t>小学(小学\小学节能)</w:t>
            </w:r>
          </w:p>
        </w:tc>
        <w:tc>
          <w:tcPr>
            <w:tcW w:w="1276" w:type="dxa"/>
            <w:shd w:val="clear" w:color="auto" w:fill="auto"/>
            <w:vAlign w:val="center"/>
          </w:tcPr>
          <w:p>
            <w:pPr>
              <w:jc w:val="center"/>
              <w:rPr>
                <w:lang w:val="en-US"/>
              </w:rPr>
            </w:pPr>
            <w:r>
              <w:rPr>
                <w:lang w:val="en-US"/>
              </w:rPr>
              <w:t>-1.17</w:t>
            </w:r>
          </w:p>
        </w:tc>
        <w:tc>
          <w:tcPr>
            <w:tcW w:w="1276" w:type="dxa"/>
            <w:shd w:val="clear" w:color="auto" w:fill="auto"/>
            <w:vAlign w:val="center"/>
          </w:tcPr>
          <w:p>
            <w:pPr>
              <w:jc w:val="center"/>
              <w:rPr>
                <w:lang w:val="en-US"/>
              </w:rPr>
            </w:pPr>
            <w:r>
              <w:rPr>
                <w:lang w:val="en-US"/>
              </w:rPr>
              <w:t>-3.45</w:t>
            </w:r>
          </w:p>
        </w:tc>
        <w:tc>
          <w:tcPr>
            <w:tcW w:w="1701" w:type="dxa"/>
            <w:shd w:val="clear" w:color="auto" w:fill="auto"/>
            <w:vAlign w:val="center"/>
          </w:tcPr>
          <w:p>
            <w:pPr>
              <w:jc w:val="center"/>
              <w:rPr>
                <w:lang w:val="en-US"/>
              </w:rPr>
            </w:pPr>
            <w:r>
              <w:rPr>
                <w:lang w:val="en-US"/>
              </w:rPr>
              <w:t>2.28</w:t>
            </w:r>
          </w:p>
        </w:tc>
        <w:tc>
          <w:tcPr>
            <w:tcW w:w="973" w:type="dxa"/>
            <w:shd w:val="clear" w:color="auto" w:fill="auto"/>
            <w:vAlign w:val="center"/>
          </w:tcPr>
          <w:p>
            <w:pPr>
              <w:jc w:val="center"/>
              <w:rPr>
                <w:lang w:val="en-US"/>
              </w:rPr>
            </w:pPr>
            <w:r>
              <w:rPr>
                <w:lang w:val="en-US"/>
              </w:rPr>
              <w:t>是</w:t>
            </w:r>
          </w:p>
        </w:tc>
      </w:tr>
      <w:bookmarkEnd w:id="83"/>
    </w:tbl>
    <w:p>
      <w:pPr>
        <w:rPr>
          <w:lang w:val="en-US"/>
        </w:rPr>
      </w:pPr>
      <w:bookmarkStart w:id="84" w:name="建筑迎风和背风面风压差结论汇总结论"/>
      <w:bookmarkEnd w:id="84"/>
      <w:r>
        <w:rPr>
          <w:lang w:val="en-US"/>
        </w:rPr>
        <w:t>结论：本项目中参评建筑未命名、未命名、未命名、未命名迎背风压</w:t>
      </w:r>
      <w:r>
        <w:rPr>
          <w:szCs w:val="22"/>
          <w:lang w:val="en-US"/>
        </w:rPr>
        <w:t>差未超过5Pa，满足</w:t>
      </w:r>
      <w:r>
        <w:rPr>
          <w:lang w:val="en-US"/>
        </w:rPr>
        <w:t>“除迎风第一排建筑外，建筑迎风面与背风面表面风压差不超过5Pa”的要求，该条得</w:t>
      </w:r>
      <w:r>
        <w:rPr>
          <w:rFonts w:hint="eastAsia"/>
          <w:lang w:val="en-US" w:eastAsia="zh-CN"/>
        </w:rPr>
        <w:t>1</w:t>
      </w:r>
      <w:r>
        <w:rPr>
          <w:lang w:val="en-US"/>
        </w:rPr>
        <w:t>分。</w:t>
      </w:r>
    </w:p>
    <w:p>
      <w:pPr>
        <w:rPr>
          <w:lang w:val="en-US"/>
        </w:rPr>
      </w:pPr>
      <w:bookmarkStart w:id="85" w:name="冬季工况"/>
      <w:bookmarkEnd w:id="85"/>
      <w:r>
        <w:rPr>
          <w:rFonts w:hint="eastAsia"/>
          <w:lang w:val="en-US"/>
        </w:rPr>
        <w:t xml:space="preserve"> </w:t>
      </w:r>
    </w:p>
    <w:p>
      <w:pPr>
        <w:pStyle w:val="4"/>
      </w:pPr>
      <w:bookmarkStart w:id="86" w:name="_Toc25941"/>
      <w:r>
        <w:rPr>
          <w:rFonts w:hint="eastAsia"/>
        </w:rPr>
        <w:t>夏季工况</w:t>
      </w:r>
      <w:bookmarkEnd w:id="86"/>
    </w:p>
    <w:p>
      <w:pPr>
        <w:pStyle w:val="3"/>
        <w:ind w:firstLine="420"/>
      </w:pPr>
      <w:r>
        <w:rPr>
          <w:rFonts w:hint="eastAsia"/>
          <w:lang w:val="en-US"/>
        </w:rPr>
        <w:t>本项目夏季工况的入口边界风速为</w:t>
      </w:r>
      <w:r>
        <w:rPr>
          <w:rFonts w:hint="eastAsia"/>
          <w:lang w:val="en-US" w:eastAsia="zh-CN"/>
        </w:rPr>
        <w:t>3</w:t>
      </w:r>
      <w:r>
        <w:rPr>
          <w:rFonts w:hint="eastAsia"/>
          <w:lang w:val="en-US"/>
        </w:rPr>
        <w:t>.30m/s，风向为</w:t>
      </w:r>
      <w:r>
        <w:rPr>
          <w:rFonts w:hint="eastAsia"/>
          <w:lang w:val="en-US" w:eastAsia="zh-CN"/>
        </w:rPr>
        <w:t>0°</w:t>
      </w:r>
      <w:r>
        <w:rPr>
          <w:rFonts w:hint="eastAsia"/>
          <w:lang w:val="en-US"/>
        </w:rPr>
        <w:t>。</w:t>
      </w:r>
    </w:p>
    <w:p>
      <w:pPr>
        <w:pStyle w:val="3"/>
        <w:ind w:firstLine="420"/>
      </w:pPr>
      <w:r>
        <w:rPr>
          <w:rFonts w:hint="eastAsia"/>
          <w:lang w:val="en-US"/>
        </w:rPr>
        <w:t>根据前述《绿色建筑评价标准》 对于夏季工况的要求，夏季典型风速和风向条件下，场地内人活动区不出现涡旋或无风区，如达到要求可得2分。通过该项标准指导设计确保合理的建筑布局，在夏季形成有效的巷道风，优化街区自然通风环境，避免夏季人行区有明显的气流旋涡和无风区，从而造成闷热不适感。因此本项目需要分析建筑周围人行区的风速和风速放大系数分布，并作出判断。</w:t>
      </w:r>
    </w:p>
    <w:p>
      <w:pPr>
        <w:pStyle w:val="3"/>
        <w:ind w:firstLine="422"/>
        <w:rPr>
          <w:lang w:val="en-US"/>
        </w:rPr>
      </w:pPr>
      <w:r>
        <w:rPr>
          <w:rFonts w:hint="eastAsia"/>
          <w:b/>
          <w:lang w:val="en-US"/>
        </w:rPr>
        <w:t>无风区的定义</w:t>
      </w:r>
      <w:r>
        <w:rPr>
          <w:rFonts w:hint="eastAsia"/>
          <w:lang w:val="en-US"/>
        </w:rPr>
        <w:t xml:space="preserve"> 通常当人行区域风速≤0.2m/s时，该区域风向标处于静止状态，在此区域活动的人会有明显的无风感，则该区域为无风区。</w:t>
      </w:r>
    </w:p>
    <w:p>
      <w:pPr>
        <w:pStyle w:val="3"/>
        <w:ind w:firstLine="409" w:firstLineChars="195"/>
        <w:rPr>
          <w:rFonts w:ascii="黑体" w:hAnsi="黑体" w:eastAsia="黑体"/>
          <w:szCs w:val="20"/>
        </w:rPr>
      </w:pPr>
      <w:r>
        <w:rPr>
          <w:rFonts w:hint="eastAsia" w:ascii="黑体" w:hAnsi="黑体" w:eastAsia="黑体"/>
          <w:szCs w:val="20"/>
          <w:lang w:val="en-US"/>
        </w:rPr>
        <w:t>注：无风区的定义参考《</w:t>
      </w:r>
      <w:r>
        <w:rPr>
          <w:rFonts w:hint="eastAsia" w:ascii="黑体" w:hAnsi="黑体" w:eastAsia="黑体"/>
          <w:szCs w:val="20"/>
        </w:rPr>
        <w:t>建筑设计资料集</w:t>
      </w:r>
      <w:r>
        <w:rPr>
          <w:rFonts w:hint="eastAsia" w:ascii="黑体" w:hAnsi="黑体" w:eastAsia="黑体"/>
          <w:szCs w:val="20"/>
          <w:lang w:val="en-US"/>
        </w:rPr>
        <w:t>》第一分册，第二版。</w:t>
      </w:r>
    </w:p>
    <w:p>
      <w:pPr>
        <w:pStyle w:val="5"/>
      </w:pPr>
      <w:bookmarkStart w:id="87" w:name="_Toc11814"/>
      <w:r>
        <w:rPr>
          <w:rFonts w:hint="eastAsia"/>
        </w:rPr>
        <w:t>无风区计算分析</w:t>
      </w:r>
      <w:bookmarkEnd w:id="87"/>
    </w:p>
    <w:p>
      <w:pPr>
        <w:pStyle w:val="6"/>
      </w:pPr>
      <w:r>
        <w:rPr>
          <w:rFonts w:hint="eastAsia"/>
        </w:rPr>
        <w:t>计算域内无风区分析</w:t>
      </w:r>
    </w:p>
    <w:p>
      <w:pPr>
        <w:pStyle w:val="3"/>
        <w:tabs>
          <w:tab w:val="left" w:pos="426"/>
        </w:tabs>
        <w:ind w:firstLine="420"/>
      </w:pPr>
      <w:r>
        <w:rPr>
          <w:rFonts w:hint="eastAsia"/>
        </w:rPr>
        <w:t>下图为整个计算域内风速分布云图，参考图中速度分布可以对项目中建筑布局进行优化。分析下图，</w:t>
      </w:r>
      <w:r>
        <w:rPr>
          <w:rFonts w:hint="eastAsia"/>
          <w:lang w:val="en-US"/>
        </w:rPr>
        <w:t>计算域内没有明显的旋涡产生，本项目建筑布局基本合理。</w:t>
      </w:r>
    </w:p>
    <w:p>
      <w:pPr>
        <w:pStyle w:val="3"/>
        <w:spacing w:after="156" w:afterLines="50"/>
        <w:ind w:firstLine="0" w:firstLineChars="0"/>
        <w:jc w:val="center"/>
      </w:pPr>
      <w:r>
        <w:drawing>
          <wp:inline distT="0" distB="0" distL="0" distR="0">
            <wp:extent cx="4245610" cy="3962400"/>
            <wp:effectExtent l="9525" t="9525" r="12065"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69"/>
                    <a:stretch>
                      <a:fillRect/>
                    </a:stretch>
                  </pic:blipFill>
                  <pic:spPr>
                    <a:xfrm>
                      <a:off x="0" y="0"/>
                      <a:ext cx="4258051" cy="3973531"/>
                    </a:xfrm>
                    <a:prstGeom prst="rect">
                      <a:avLst/>
                    </a:prstGeom>
                    <a:ln>
                      <a:solidFill>
                        <a:srgbClr val="0000FF"/>
                      </a:solidFill>
                    </a:ln>
                  </pic:spPr>
                </pic:pic>
              </a:graphicData>
            </a:graphic>
          </wp:inline>
        </w:drawing>
      </w:r>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计算域内-1.5米高度水平面风速云图-夏季</w:t>
      </w:r>
    </w:p>
    <w:p>
      <w:pPr>
        <w:pStyle w:val="5"/>
      </w:pPr>
      <w:bookmarkStart w:id="88" w:name="_Toc15907"/>
      <w:r>
        <w:rPr>
          <w:rFonts w:hint="eastAsia"/>
        </w:rPr>
        <w:t>旋涡区分析</w:t>
      </w:r>
      <w:bookmarkEnd w:id="88"/>
    </w:p>
    <w:p>
      <w:pPr>
        <w:pStyle w:val="6"/>
      </w:pPr>
      <w:r>
        <w:rPr>
          <w:rFonts w:hint="eastAsia"/>
        </w:rPr>
        <w:t>计算域内旋涡区分析</w:t>
      </w:r>
    </w:p>
    <w:p>
      <w:pPr>
        <w:pStyle w:val="3"/>
        <w:tabs>
          <w:tab w:val="left" w:pos="426"/>
        </w:tabs>
        <w:ind w:firstLine="420"/>
        <w:rPr>
          <w:lang w:val="en-US"/>
        </w:rPr>
      </w:pPr>
      <w:r>
        <w:rPr>
          <w:rFonts w:hint="eastAsia"/>
          <w:lang w:val="en-US"/>
        </w:rPr>
        <w:t>下图为计算域内的风速矢量图，分析下图可知，计算域内没有明显的旋涡产生，本项目建筑布局基本合理。</w:t>
      </w:r>
    </w:p>
    <w:p>
      <w:pPr>
        <w:pStyle w:val="3"/>
        <w:ind w:firstLine="0" w:firstLineChars="0"/>
        <w:jc w:val="center"/>
        <w:rPr>
          <w:lang w:val="en-US"/>
        </w:rPr>
      </w:pPr>
      <w:r>
        <w:drawing>
          <wp:inline distT="0" distB="0" distL="0" distR="0">
            <wp:extent cx="3981450" cy="3816985"/>
            <wp:effectExtent l="9525" t="9525" r="9525" b="2159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70"/>
                    <a:stretch>
                      <a:fillRect/>
                    </a:stretch>
                  </pic:blipFill>
                  <pic:spPr>
                    <a:xfrm>
                      <a:off x="0" y="0"/>
                      <a:ext cx="3991179" cy="3826842"/>
                    </a:xfrm>
                    <a:prstGeom prst="rect">
                      <a:avLst/>
                    </a:prstGeom>
                    <a:ln>
                      <a:solidFill>
                        <a:srgbClr val="0000FF"/>
                      </a:solidFill>
                    </a:ln>
                  </pic:spPr>
                </pic:pic>
              </a:graphicData>
            </a:graphic>
          </wp:inline>
        </w:drawing>
      </w:r>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2</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计算域内-1.5米高度水平面风速矢量图</w:t>
      </w:r>
    </w:p>
    <w:p>
      <w:pPr>
        <w:pStyle w:val="5"/>
      </w:pPr>
      <w:bookmarkStart w:id="89" w:name="_Toc10507"/>
      <w:r>
        <w:rPr>
          <w:rFonts w:hint="eastAsia"/>
        </w:rPr>
        <w:t>人行区域旋涡区/无风区达标判定</w:t>
      </w:r>
      <w:bookmarkEnd w:id="89"/>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表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表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 xml:space="preserve"> 夏季无风区/旋涡区达标分析汇总</w:t>
      </w:r>
    </w:p>
    <w:tbl>
      <w:tblPr>
        <w:tblStyle w:val="21"/>
        <w:tblW w:w="6662" w:type="dxa"/>
        <w:tblInd w:w="1526" w:type="dxa"/>
        <w:tblLayout w:type="fixed"/>
        <w:tblCellMar>
          <w:top w:w="0" w:type="dxa"/>
          <w:left w:w="108" w:type="dxa"/>
          <w:bottom w:w="0" w:type="dxa"/>
          <w:right w:w="108" w:type="dxa"/>
        </w:tblCellMar>
      </w:tblPr>
      <w:tblGrid>
        <w:gridCol w:w="1134"/>
        <w:gridCol w:w="1701"/>
        <w:gridCol w:w="2551"/>
        <w:gridCol w:w="1276"/>
      </w:tblGrid>
      <w:tr>
        <w:tblPrEx>
          <w:tblLayout w:type="fixed"/>
          <w:tblCellMar>
            <w:top w:w="0" w:type="dxa"/>
            <w:left w:w="108" w:type="dxa"/>
            <w:bottom w:w="0" w:type="dxa"/>
            <w:right w:w="108" w:type="dxa"/>
          </w:tblCellMar>
        </w:tblPrEx>
        <w:trPr>
          <w:trHeight w:val="270" w:hRule="atLeast"/>
        </w:trPr>
        <w:tc>
          <w:tcPr>
            <w:tcW w:w="1134"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评价量</w:t>
            </w:r>
          </w:p>
        </w:tc>
        <w:tc>
          <w:tcPr>
            <w:tcW w:w="170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是否有无风区/旋涡区</w:t>
            </w:r>
          </w:p>
        </w:tc>
        <w:tc>
          <w:tcPr>
            <w:tcW w:w="1276"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达标判断</w:t>
            </w:r>
          </w:p>
        </w:tc>
      </w:tr>
      <w:tr>
        <w:tblPrEx>
          <w:tblLayout w:type="fixed"/>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无风区</w:t>
            </w:r>
          </w:p>
        </w:tc>
        <w:tc>
          <w:tcPr>
            <w:tcW w:w="1701" w:type="dxa"/>
            <w:tcBorders>
              <w:top w:val="nil"/>
              <w:left w:val="nil"/>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无风区面积为0</w:t>
            </w:r>
          </w:p>
        </w:tc>
        <w:tc>
          <w:tcPr>
            <w:tcW w:w="2551"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否</w:t>
            </w:r>
          </w:p>
        </w:tc>
        <w:tc>
          <w:tcPr>
            <w:tcW w:w="1276"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是</w:t>
            </w:r>
          </w:p>
        </w:tc>
      </w:tr>
      <w:tr>
        <w:tblPrEx>
          <w:tblLayout w:type="fixed"/>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旋涡区</w:t>
            </w:r>
          </w:p>
        </w:tc>
        <w:tc>
          <w:tcPr>
            <w:tcW w:w="1701" w:type="dxa"/>
            <w:tcBorders>
              <w:top w:val="nil"/>
              <w:left w:val="nil"/>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旋涡区面积为0</w:t>
            </w:r>
          </w:p>
        </w:tc>
        <w:tc>
          <w:tcPr>
            <w:tcW w:w="2551"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否</w:t>
            </w:r>
          </w:p>
        </w:tc>
        <w:tc>
          <w:tcPr>
            <w:tcW w:w="1276"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是</w:t>
            </w:r>
          </w:p>
        </w:tc>
      </w:tr>
    </w:tbl>
    <w:p>
      <w:pPr>
        <w:pStyle w:val="5"/>
      </w:pPr>
      <w:bookmarkStart w:id="90" w:name="_Toc18730"/>
      <w:r>
        <w:rPr>
          <w:rFonts w:hint="eastAsia"/>
        </w:rPr>
        <w:t>外窗内外表面风压差达标分析</w:t>
      </w:r>
      <w:bookmarkEnd w:id="90"/>
    </w:p>
    <w:p>
      <w:pPr>
        <w:pStyle w:val="3"/>
        <w:ind w:firstLine="420"/>
      </w:pPr>
      <w:r>
        <w:rPr>
          <w:rFonts w:hint="eastAsia"/>
          <w:lang w:val="en-US"/>
        </w:rPr>
        <w:t>分析《绿色建筑评价标准》，夏季为充分利用自然通风获得良好的室内风环境，要求50%以上可开启外窗室内外表面的风压差大于0.5Pa，如满足该条款可得1分。</w:t>
      </w:r>
    </w:p>
    <w:p>
      <w:pPr>
        <w:pStyle w:val="3"/>
        <w:ind w:firstLine="420"/>
      </w:pPr>
      <w:r>
        <w:rPr>
          <w:rFonts w:hint="eastAsia"/>
          <w:lang w:val="en-US"/>
        </w:rPr>
        <w:t>可见在夏季，为了获得良好的室内风环境，首先要有良好的室外风环境。当外窗关闭时，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r>
        <w:rPr>
          <w:rFonts w:hint="eastAsia"/>
        </w:rPr>
        <w:t>下表为提取的外窗外表面平均风压数据，相当于外窗室内外表面风压差数据，并依据标准做出达标判断：</w:t>
      </w:r>
    </w:p>
    <w:p>
      <w:pPr>
        <w:pStyle w:val="13"/>
        <w:jc w:val="center"/>
      </w:pPr>
      <w:r>
        <w:rPr>
          <w:rFonts w:hint="eastAsia" w:ascii="黑体" w:hAnsi="黑体"/>
        </w:rPr>
        <w:t xml:space="preserve">表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5.3</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表 \* ARABIC \s 2</w:instrText>
      </w:r>
      <w:r>
        <w:rPr>
          <w:rFonts w:ascii="黑体" w:hAnsi="黑体"/>
        </w:rPr>
        <w:instrText xml:space="preserve"> </w:instrText>
      </w:r>
      <w:r>
        <w:rPr>
          <w:rFonts w:ascii="黑体" w:hAnsi="黑体"/>
        </w:rPr>
        <w:fldChar w:fldCharType="separate"/>
      </w:r>
      <w:r>
        <w:rPr>
          <w:rFonts w:ascii="黑体" w:hAnsi="黑体"/>
        </w:rPr>
        <w:t>2</w:t>
      </w:r>
      <w:r>
        <w:rPr>
          <w:rFonts w:ascii="黑体" w:hAnsi="黑体"/>
        </w:rPr>
        <w:fldChar w:fldCharType="end"/>
      </w:r>
      <w:r>
        <w:rPr>
          <w:rFonts w:ascii="黑体" w:hAnsi="黑体"/>
        </w:rPr>
        <w:t xml:space="preserve"> </w:t>
      </w:r>
      <w:r>
        <w:rPr>
          <w:rFonts w:hint="eastAsia"/>
        </w:rPr>
        <w:t>建筑外窗室内外风压差达标判定表</w:t>
      </w:r>
    </w:p>
    <w:tbl>
      <w:tblPr>
        <w:tblStyle w:val="21"/>
        <w:tblW w:w="9303" w:type="dxa"/>
        <w:tblInd w:w="-123"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4361"/>
        <w:gridCol w:w="1134"/>
        <w:gridCol w:w="1984"/>
        <w:gridCol w:w="1116"/>
        <w:gridCol w:w="708"/>
      </w:tblGrid>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rPr>
          <w:tblHeader/>
        </w:trPr>
        <w:tc>
          <w:tcPr>
            <w:tcW w:w="4361" w:type="dxa"/>
            <w:shd w:val="clear" w:color="auto" w:fill="E6E6E6"/>
            <w:vAlign w:val="center"/>
          </w:tcPr>
          <w:p>
            <w:pPr>
              <w:jc w:val="center"/>
              <w:rPr>
                <w:lang w:val="en-US"/>
              </w:rPr>
            </w:pPr>
            <w:r>
              <w:rPr>
                <w:rFonts w:hint="eastAsia"/>
                <w:lang w:val="en-US"/>
              </w:rPr>
              <w:t>建筑编号</w:t>
            </w:r>
          </w:p>
        </w:tc>
        <w:tc>
          <w:tcPr>
            <w:tcW w:w="1134" w:type="dxa"/>
            <w:shd w:val="clear" w:color="auto" w:fill="E6E6E6"/>
            <w:vAlign w:val="center"/>
          </w:tcPr>
          <w:p>
            <w:pPr>
              <w:jc w:val="center"/>
              <w:rPr>
                <w:lang w:val="en-US"/>
              </w:rPr>
            </w:pPr>
            <w:r>
              <w:rPr>
                <w:rFonts w:hint="eastAsia"/>
                <w:lang w:val="en-US"/>
              </w:rPr>
              <w:t>可开启外窗总数</w:t>
            </w:r>
          </w:p>
        </w:tc>
        <w:tc>
          <w:tcPr>
            <w:tcW w:w="1984" w:type="dxa"/>
            <w:shd w:val="clear" w:color="auto" w:fill="E6E6E6"/>
            <w:vAlign w:val="center"/>
          </w:tcPr>
          <w:p>
            <w:pPr>
              <w:jc w:val="center"/>
              <w:rPr>
                <w:lang w:val="en-US"/>
              </w:rPr>
            </w:pPr>
            <w:r>
              <w:rPr>
                <w:rFonts w:hint="eastAsia"/>
                <w:lang w:val="en-US"/>
              </w:rPr>
              <w:t>室内外风压差大于0.5Pa的外窗总数</w:t>
            </w:r>
          </w:p>
        </w:tc>
        <w:tc>
          <w:tcPr>
            <w:tcW w:w="1116" w:type="dxa"/>
            <w:shd w:val="clear" w:color="auto" w:fill="E6E6E6"/>
            <w:vAlign w:val="center"/>
          </w:tcPr>
          <w:p>
            <w:pPr>
              <w:jc w:val="center"/>
              <w:rPr>
                <w:lang w:val="en-US"/>
              </w:rPr>
            </w:pPr>
            <w:r>
              <w:rPr>
                <w:rFonts w:hint="eastAsia"/>
                <w:lang w:val="en-US"/>
              </w:rPr>
              <w:t>达标比例（%）</w:t>
            </w:r>
          </w:p>
        </w:tc>
        <w:tc>
          <w:tcPr>
            <w:tcW w:w="708" w:type="dxa"/>
            <w:shd w:val="clear" w:color="auto" w:fill="E6E6E6"/>
            <w:vAlign w:val="center"/>
          </w:tcPr>
          <w:p>
            <w:pPr>
              <w:jc w:val="center"/>
              <w:rPr>
                <w:lang w:val="en-US"/>
              </w:rPr>
            </w:pPr>
            <w:r>
              <w:rPr>
                <w:rFonts w:hint="eastAsia"/>
                <w:lang w:val="en-US"/>
              </w:rPr>
              <w:t>是否达标</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4361" w:type="dxa"/>
            <w:shd w:val="clear" w:color="auto" w:fill="auto"/>
            <w:vAlign w:val="center"/>
          </w:tcPr>
          <w:p>
            <w:pPr>
              <w:jc w:val="center"/>
              <w:rPr>
                <w:lang w:val="en-US"/>
              </w:rPr>
            </w:pPr>
            <w:r>
              <w:rPr>
                <w:lang w:val="en-US"/>
              </w:rPr>
              <w:t>小学(小学\小学节能)</w:t>
            </w:r>
          </w:p>
        </w:tc>
        <w:tc>
          <w:tcPr>
            <w:tcW w:w="1134" w:type="dxa"/>
            <w:shd w:val="clear" w:color="auto" w:fill="auto"/>
            <w:vAlign w:val="center"/>
          </w:tcPr>
          <w:p>
            <w:pPr>
              <w:jc w:val="center"/>
              <w:rPr>
                <w:rFonts w:hint="default" w:eastAsia="宋体"/>
                <w:lang w:val="en-US" w:eastAsia="zh-CN"/>
              </w:rPr>
            </w:pPr>
            <w:r>
              <w:rPr>
                <w:rFonts w:hint="eastAsia"/>
                <w:lang w:val="en-US" w:eastAsia="zh-CN"/>
              </w:rPr>
              <w:t>112</w:t>
            </w:r>
          </w:p>
        </w:tc>
        <w:tc>
          <w:tcPr>
            <w:tcW w:w="1984" w:type="dxa"/>
            <w:shd w:val="clear" w:color="auto" w:fill="auto"/>
            <w:vAlign w:val="center"/>
          </w:tcPr>
          <w:p>
            <w:pPr>
              <w:jc w:val="center"/>
              <w:rPr>
                <w:rFonts w:hint="default" w:eastAsia="宋体"/>
                <w:lang w:val="en-US" w:eastAsia="zh-CN"/>
              </w:rPr>
            </w:pPr>
            <w:r>
              <w:rPr>
                <w:rFonts w:hint="eastAsia"/>
                <w:lang w:val="en-US" w:eastAsia="zh-CN"/>
              </w:rPr>
              <w:t>100</w:t>
            </w:r>
          </w:p>
        </w:tc>
        <w:tc>
          <w:tcPr>
            <w:tcW w:w="1116" w:type="dxa"/>
            <w:shd w:val="clear" w:color="auto" w:fill="auto"/>
            <w:vAlign w:val="center"/>
          </w:tcPr>
          <w:p>
            <w:pPr>
              <w:jc w:val="center"/>
              <w:rPr>
                <w:lang w:val="en-US"/>
              </w:rPr>
            </w:pPr>
            <w:r>
              <w:rPr>
                <w:lang w:val="en-US"/>
              </w:rPr>
              <w:t>89.78</w:t>
            </w:r>
          </w:p>
        </w:tc>
        <w:tc>
          <w:tcPr>
            <w:tcW w:w="708" w:type="dxa"/>
            <w:shd w:val="clear" w:color="auto" w:fill="auto"/>
            <w:vAlign w:val="center"/>
          </w:tcPr>
          <w:p>
            <w:pPr>
              <w:jc w:val="center"/>
              <w:rPr>
                <w:lang w:val="en-US"/>
              </w:rPr>
            </w:pPr>
            <w:r>
              <w:rPr>
                <w:lang w:val="en-US"/>
              </w:rPr>
              <w:t>是</w:t>
            </w:r>
          </w:p>
        </w:tc>
      </w:tr>
    </w:tbl>
    <w:p>
      <w:r>
        <w:rPr>
          <w:rFonts w:hint="eastAsia"/>
          <w:lang w:val="en-US"/>
        </w:rPr>
        <w:t>说明：达标比例＝（室内外风压差大于0.5Pa的总数/可开启外窗总数）*100％</w:t>
      </w:r>
      <w:r>
        <w:rPr>
          <w:rFonts w:hint="eastAsia"/>
        </w:rPr>
        <w:t xml:space="preserve"> </w:t>
      </w:r>
    </w:p>
    <w:p>
      <w:pPr>
        <w:rPr>
          <w:lang w:val="en-US"/>
        </w:rPr>
      </w:pPr>
      <w:r>
        <w:rPr>
          <w:rFonts w:hint="eastAsia"/>
          <w:lang w:val="en-US"/>
        </w:rPr>
        <w:t xml:space="preserve">结论：本项目中所有建筑均满足“50%以上可开启外窗室内外表面的风压差大于0.5Pa”的要求。 </w:t>
      </w:r>
    </w:p>
    <w:p>
      <w:pPr>
        <w:pStyle w:val="4"/>
      </w:pPr>
      <w:bookmarkStart w:id="91" w:name="季节1"/>
      <w:bookmarkStart w:id="92" w:name="_Toc509844759"/>
      <w:bookmarkStart w:id="93" w:name="_Toc29176"/>
      <w:r>
        <w:rPr>
          <w:rFonts w:hint="eastAsia"/>
          <w:lang w:val="en-US" w:eastAsia="zh-CN"/>
        </w:rPr>
        <w:t>春</w:t>
      </w:r>
      <w:r>
        <w:rPr>
          <w:rFonts w:hint="eastAsia"/>
        </w:rPr>
        <w:t>季</w:t>
      </w:r>
      <w:bookmarkEnd w:id="91"/>
      <w:r>
        <w:rPr>
          <w:rFonts w:hint="eastAsia"/>
        </w:rPr>
        <w:t>工况</w:t>
      </w:r>
      <w:bookmarkEnd w:id="92"/>
      <w:bookmarkEnd w:id="93"/>
    </w:p>
    <w:p>
      <w:pPr>
        <w:pStyle w:val="3"/>
        <w:ind w:firstLine="420"/>
      </w:pPr>
      <w:r>
        <w:rPr>
          <w:rFonts w:hint="eastAsia"/>
          <w:lang w:val="en-US"/>
        </w:rPr>
        <w:t>本项目</w:t>
      </w:r>
      <w:bookmarkStart w:id="94" w:name="季节2"/>
      <w:r>
        <w:rPr>
          <w:rFonts w:hint="eastAsia"/>
          <w:lang w:val="en-US" w:eastAsia="zh-CN"/>
        </w:rPr>
        <w:t>春</w:t>
      </w:r>
      <w:r>
        <w:rPr>
          <w:rFonts w:hint="eastAsia"/>
          <w:lang w:val="en-US"/>
        </w:rPr>
        <w:t>季</w:t>
      </w:r>
      <w:bookmarkEnd w:id="94"/>
      <w:r>
        <w:rPr>
          <w:rFonts w:hint="eastAsia"/>
          <w:lang w:val="en-US"/>
        </w:rPr>
        <w:t>工况的入口边界风速为</w:t>
      </w:r>
      <w:r>
        <w:rPr>
          <w:rFonts w:hint="eastAsia"/>
          <w:lang w:val="en-US" w:eastAsia="zh-CN"/>
        </w:rPr>
        <w:t>2.60</w:t>
      </w:r>
      <w:r>
        <w:rPr>
          <w:rFonts w:hint="eastAsia"/>
          <w:lang w:val="en-US"/>
        </w:rPr>
        <w:t>m/s，风向为</w:t>
      </w:r>
      <w:r>
        <w:rPr>
          <w:rFonts w:hint="eastAsia"/>
          <w:lang w:val="en-US" w:eastAsia="zh-CN"/>
        </w:rPr>
        <w:t>90°</w:t>
      </w:r>
      <w:r>
        <w:rPr>
          <w:rFonts w:hint="eastAsia"/>
          <w:lang w:val="en-US"/>
        </w:rPr>
        <w:t>。</w:t>
      </w:r>
    </w:p>
    <w:p>
      <w:pPr>
        <w:pStyle w:val="3"/>
        <w:ind w:firstLine="420"/>
      </w:pPr>
      <w:r>
        <w:rPr>
          <w:rFonts w:hint="eastAsia"/>
          <w:lang w:val="en-US"/>
        </w:rPr>
        <w:t>根据前述《绿色建筑评价标准》 对于夏季工况的要求，</w:t>
      </w:r>
      <w:bookmarkStart w:id="95" w:name="季节3"/>
      <w:r>
        <w:rPr>
          <w:rFonts w:hint="eastAsia"/>
          <w:lang w:val="en-US"/>
        </w:rPr>
        <w:t>过渡季</w:t>
      </w:r>
      <w:bookmarkEnd w:id="95"/>
      <w:r>
        <w:rPr>
          <w:rFonts w:hint="eastAsia"/>
          <w:lang w:val="en-US"/>
        </w:rPr>
        <w:t>典型风速和风向条件下，场地内人活动区不出现涡旋或无风区，如达到要求可得2分。通过该项标准指导设计确保合理的建筑布局，在</w:t>
      </w:r>
      <w:bookmarkStart w:id="96" w:name="季节4"/>
      <w:r>
        <w:rPr>
          <w:rFonts w:hint="eastAsia"/>
          <w:lang w:val="en-US"/>
        </w:rPr>
        <w:t>过渡季</w:t>
      </w:r>
      <w:bookmarkEnd w:id="96"/>
      <w:r>
        <w:rPr>
          <w:rFonts w:hint="eastAsia"/>
          <w:lang w:val="en-US"/>
        </w:rPr>
        <w:t>形成有效的巷道风，优化街区自然通风环境，避免</w:t>
      </w:r>
      <w:bookmarkStart w:id="97" w:name="季节5"/>
      <w:r>
        <w:rPr>
          <w:rFonts w:hint="eastAsia"/>
          <w:lang w:val="en-US"/>
        </w:rPr>
        <w:t>过渡季</w:t>
      </w:r>
      <w:bookmarkEnd w:id="97"/>
      <w:r>
        <w:rPr>
          <w:rFonts w:hint="eastAsia"/>
          <w:lang w:val="en-US"/>
        </w:rPr>
        <w:t>人行区有明显的气流旋涡和无风区，从而造成闷热不适感。因此本项目需要分析建筑周围人行区的风速和风速放大系数分布，并作出判断。</w:t>
      </w:r>
    </w:p>
    <w:p>
      <w:pPr>
        <w:pStyle w:val="3"/>
        <w:ind w:firstLine="422"/>
        <w:rPr>
          <w:lang w:val="en-US"/>
        </w:rPr>
      </w:pPr>
      <w:r>
        <w:rPr>
          <w:rFonts w:hint="eastAsia"/>
          <w:b/>
          <w:lang w:val="en-US"/>
        </w:rPr>
        <w:t>无风区的定义</w:t>
      </w:r>
      <w:r>
        <w:rPr>
          <w:rFonts w:hint="eastAsia"/>
          <w:lang w:val="en-US"/>
        </w:rPr>
        <w:t xml:space="preserve"> 通常当人行区域风速≤0.2m/s时，该区域风向标处于静止状态，在此区域活动的人会有明显的无风感，则该区域为无风区。</w:t>
      </w:r>
    </w:p>
    <w:p>
      <w:pPr>
        <w:pStyle w:val="3"/>
        <w:ind w:firstLine="409" w:firstLineChars="195"/>
        <w:rPr>
          <w:rFonts w:ascii="黑体" w:hAnsi="黑体" w:eastAsia="黑体"/>
          <w:szCs w:val="20"/>
        </w:rPr>
      </w:pPr>
      <w:r>
        <w:rPr>
          <w:rFonts w:hint="eastAsia" w:ascii="黑体" w:hAnsi="黑体" w:eastAsia="黑体"/>
          <w:szCs w:val="20"/>
          <w:lang w:val="en-US"/>
        </w:rPr>
        <w:t>注：无风区的定义参考《</w:t>
      </w:r>
      <w:r>
        <w:rPr>
          <w:rFonts w:hint="eastAsia" w:ascii="黑体" w:hAnsi="黑体" w:eastAsia="黑体"/>
          <w:szCs w:val="20"/>
        </w:rPr>
        <w:t>建筑设计资料集</w:t>
      </w:r>
      <w:r>
        <w:rPr>
          <w:rFonts w:hint="eastAsia" w:ascii="黑体" w:hAnsi="黑体" w:eastAsia="黑体"/>
          <w:szCs w:val="20"/>
          <w:lang w:val="en-US"/>
        </w:rPr>
        <w:t>》第一分册，第二版。</w:t>
      </w:r>
    </w:p>
    <w:p>
      <w:pPr>
        <w:pStyle w:val="5"/>
      </w:pPr>
      <w:bookmarkStart w:id="98" w:name="_Toc509844760"/>
      <w:bookmarkStart w:id="99" w:name="_Toc6399"/>
      <w:r>
        <w:rPr>
          <w:rFonts w:hint="eastAsia"/>
        </w:rPr>
        <w:t>无风区计算分析</w:t>
      </w:r>
      <w:bookmarkEnd w:id="98"/>
      <w:bookmarkEnd w:id="99"/>
    </w:p>
    <w:p>
      <w:pPr>
        <w:pStyle w:val="6"/>
      </w:pPr>
      <w:r>
        <w:rPr>
          <w:rFonts w:hint="eastAsia"/>
        </w:rPr>
        <w:t>计算域内无风区分析</w:t>
      </w:r>
    </w:p>
    <w:p>
      <w:pPr>
        <w:pStyle w:val="3"/>
        <w:tabs>
          <w:tab w:val="left" w:pos="426"/>
        </w:tabs>
        <w:ind w:firstLine="420"/>
      </w:pPr>
      <w:r>
        <w:rPr>
          <w:rFonts w:hint="eastAsia"/>
        </w:rPr>
        <w:t>下图为整个计算域内风速分布云图，参考图中速度分布可以对项目中建筑布局进行优化。分析下图，</w:t>
      </w:r>
      <w:bookmarkStart w:id="100" w:name="风速分析结论"/>
      <w:bookmarkEnd w:id="100"/>
      <w:r>
        <w:rPr>
          <w:rFonts w:hint="eastAsia"/>
          <w:lang w:val="en-US"/>
        </w:rPr>
        <w:t>计算域内没有明显的旋涡产生，本项目建筑布局基本合理。</w:t>
      </w:r>
    </w:p>
    <w:p>
      <w:pPr>
        <w:pStyle w:val="3"/>
        <w:spacing w:after="156" w:afterLines="50"/>
        <w:ind w:firstLine="0" w:firstLineChars="0"/>
        <w:jc w:val="center"/>
      </w:pPr>
      <w:bookmarkStart w:id="101" w:name="风速云图"/>
      <w:bookmarkEnd w:id="101"/>
      <w:r>
        <w:drawing>
          <wp:inline distT="0" distB="0" distL="0" distR="0">
            <wp:extent cx="3571875" cy="3885565"/>
            <wp:effectExtent l="9525" t="9525" r="19050" b="1016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71"/>
                    <a:stretch>
                      <a:fillRect/>
                    </a:stretch>
                  </pic:blipFill>
                  <pic:spPr>
                    <a:xfrm>
                      <a:off x="0" y="0"/>
                      <a:ext cx="3577517" cy="3891939"/>
                    </a:xfrm>
                    <a:prstGeom prst="rect">
                      <a:avLst/>
                    </a:prstGeom>
                    <a:ln>
                      <a:solidFill>
                        <a:srgbClr val="0000FF"/>
                      </a:solidFill>
                    </a:ln>
                  </pic:spPr>
                </pic:pic>
              </a:graphicData>
            </a:graphic>
          </wp:inline>
        </w:drawing>
      </w:r>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计算域内-1.5米高度水平面风速云图-</w:t>
      </w:r>
      <w:bookmarkStart w:id="102" w:name="季节7"/>
      <w:r>
        <w:rPr>
          <w:rFonts w:hint="eastAsia" w:ascii="黑体" w:hAnsi="黑体" w:eastAsia="黑体"/>
          <w:sz w:val="20"/>
          <w:szCs w:val="20"/>
        </w:rPr>
        <w:t>过渡季</w:t>
      </w:r>
      <w:bookmarkEnd w:id="102"/>
    </w:p>
    <w:p>
      <w:pPr>
        <w:pStyle w:val="5"/>
      </w:pPr>
      <w:bookmarkStart w:id="103" w:name="_Toc509844761"/>
      <w:bookmarkStart w:id="104" w:name="_Toc18631"/>
      <w:r>
        <w:rPr>
          <w:rFonts w:hint="eastAsia"/>
        </w:rPr>
        <w:t>旋涡区分析</w:t>
      </w:r>
      <w:bookmarkEnd w:id="103"/>
      <w:bookmarkEnd w:id="104"/>
    </w:p>
    <w:p>
      <w:pPr>
        <w:pStyle w:val="6"/>
      </w:pPr>
      <w:r>
        <w:rPr>
          <w:rFonts w:hint="eastAsia"/>
        </w:rPr>
        <w:t>计算域内旋涡区分析</w:t>
      </w:r>
    </w:p>
    <w:p>
      <w:pPr>
        <w:pStyle w:val="3"/>
        <w:tabs>
          <w:tab w:val="left" w:pos="426"/>
        </w:tabs>
        <w:ind w:firstLine="420"/>
        <w:rPr>
          <w:lang w:val="en-US"/>
        </w:rPr>
      </w:pPr>
      <w:r>
        <w:rPr>
          <w:rFonts w:hint="eastAsia"/>
          <w:lang w:val="en-US"/>
        </w:rPr>
        <w:t>下图为计算域内的风速矢量图，分析下图可知，计算域内没有明显的旋涡产生，本项目建筑布局基本合理。</w:t>
      </w:r>
    </w:p>
    <w:p>
      <w:pPr>
        <w:pStyle w:val="3"/>
        <w:ind w:firstLine="0" w:firstLineChars="0"/>
        <w:jc w:val="center"/>
        <w:rPr>
          <w:lang w:val="en-US"/>
        </w:rPr>
      </w:pPr>
      <w:bookmarkStart w:id="105" w:name="风速矢量图"/>
      <w:bookmarkEnd w:id="105"/>
      <w:r>
        <w:drawing>
          <wp:inline distT="0" distB="0" distL="0" distR="0">
            <wp:extent cx="3238500" cy="3496310"/>
            <wp:effectExtent l="9525" t="9525" r="9525" b="1841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72"/>
                    <a:stretch>
                      <a:fillRect/>
                    </a:stretch>
                  </pic:blipFill>
                  <pic:spPr>
                    <a:xfrm>
                      <a:off x="0" y="0"/>
                      <a:ext cx="3255209" cy="3514654"/>
                    </a:xfrm>
                    <a:prstGeom prst="rect">
                      <a:avLst/>
                    </a:prstGeom>
                    <a:ln>
                      <a:solidFill>
                        <a:srgbClr val="0000FF"/>
                      </a:solidFill>
                    </a:ln>
                  </pic:spPr>
                </pic:pic>
              </a:graphicData>
            </a:graphic>
          </wp:inline>
        </w:drawing>
      </w:r>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2</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计算域内-1.5米高度水平面风速矢量图</w:t>
      </w:r>
    </w:p>
    <w:p>
      <w:pPr>
        <w:pStyle w:val="5"/>
      </w:pPr>
      <w:bookmarkStart w:id="106" w:name="_Toc509844762"/>
      <w:bookmarkStart w:id="107" w:name="_Toc28485"/>
      <w:r>
        <w:rPr>
          <w:rFonts w:hint="eastAsia"/>
        </w:rPr>
        <w:t>人行区域旋涡区/无风区达标判定</w:t>
      </w:r>
      <w:bookmarkEnd w:id="106"/>
      <w:bookmarkEnd w:id="107"/>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表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表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 xml:space="preserve"> </w:t>
      </w:r>
      <w:bookmarkStart w:id="108" w:name="季节8"/>
      <w:r>
        <w:rPr>
          <w:rFonts w:hint="eastAsia" w:ascii="黑体" w:hAnsi="黑体" w:eastAsia="黑体"/>
          <w:sz w:val="20"/>
          <w:szCs w:val="20"/>
        </w:rPr>
        <w:t>过渡季</w:t>
      </w:r>
      <w:bookmarkEnd w:id="108"/>
      <w:r>
        <w:rPr>
          <w:rFonts w:hint="eastAsia" w:ascii="黑体" w:hAnsi="黑体" w:eastAsia="黑体"/>
          <w:sz w:val="20"/>
          <w:szCs w:val="20"/>
        </w:rPr>
        <w:t>无风区/旋涡区达标分析汇总</w:t>
      </w:r>
    </w:p>
    <w:tbl>
      <w:tblPr>
        <w:tblStyle w:val="21"/>
        <w:tblW w:w="6662" w:type="dxa"/>
        <w:tblInd w:w="1526" w:type="dxa"/>
        <w:tblLayout w:type="fixed"/>
        <w:tblCellMar>
          <w:top w:w="0" w:type="dxa"/>
          <w:left w:w="108" w:type="dxa"/>
          <w:bottom w:w="0" w:type="dxa"/>
          <w:right w:w="108" w:type="dxa"/>
        </w:tblCellMar>
      </w:tblPr>
      <w:tblGrid>
        <w:gridCol w:w="1134"/>
        <w:gridCol w:w="1701"/>
        <w:gridCol w:w="2551"/>
        <w:gridCol w:w="1276"/>
      </w:tblGrid>
      <w:tr>
        <w:tblPrEx>
          <w:tblLayout w:type="fixed"/>
          <w:tblCellMar>
            <w:top w:w="0" w:type="dxa"/>
            <w:left w:w="108" w:type="dxa"/>
            <w:bottom w:w="0" w:type="dxa"/>
            <w:right w:w="108" w:type="dxa"/>
          </w:tblCellMar>
        </w:tblPrEx>
        <w:trPr>
          <w:trHeight w:val="270" w:hRule="atLeast"/>
        </w:trPr>
        <w:tc>
          <w:tcPr>
            <w:tcW w:w="1134"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评价量</w:t>
            </w:r>
          </w:p>
        </w:tc>
        <w:tc>
          <w:tcPr>
            <w:tcW w:w="170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是否有无风区/旋涡区</w:t>
            </w:r>
          </w:p>
        </w:tc>
        <w:tc>
          <w:tcPr>
            <w:tcW w:w="1276"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达标判断</w:t>
            </w:r>
          </w:p>
        </w:tc>
      </w:tr>
      <w:tr>
        <w:tblPrEx>
          <w:tblLayout w:type="fixed"/>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无风区</w:t>
            </w:r>
          </w:p>
        </w:tc>
        <w:tc>
          <w:tcPr>
            <w:tcW w:w="1701" w:type="dxa"/>
            <w:tcBorders>
              <w:top w:val="nil"/>
              <w:left w:val="nil"/>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无风区面积为0</w:t>
            </w:r>
          </w:p>
        </w:tc>
        <w:tc>
          <w:tcPr>
            <w:tcW w:w="2551"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否</w:t>
            </w:r>
          </w:p>
        </w:tc>
        <w:tc>
          <w:tcPr>
            <w:tcW w:w="1276"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是</w:t>
            </w:r>
          </w:p>
        </w:tc>
      </w:tr>
      <w:tr>
        <w:tblPrEx>
          <w:tblLayout w:type="fixed"/>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旋涡区</w:t>
            </w:r>
          </w:p>
        </w:tc>
        <w:tc>
          <w:tcPr>
            <w:tcW w:w="1701" w:type="dxa"/>
            <w:tcBorders>
              <w:top w:val="nil"/>
              <w:left w:val="nil"/>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旋涡区面积为0</w:t>
            </w:r>
          </w:p>
        </w:tc>
        <w:tc>
          <w:tcPr>
            <w:tcW w:w="2551"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否</w:t>
            </w:r>
          </w:p>
        </w:tc>
        <w:tc>
          <w:tcPr>
            <w:tcW w:w="1276"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是</w:t>
            </w:r>
          </w:p>
        </w:tc>
      </w:tr>
    </w:tbl>
    <w:p>
      <w:pPr>
        <w:pStyle w:val="5"/>
      </w:pPr>
      <w:bookmarkStart w:id="109" w:name="_Toc504501018"/>
      <w:bookmarkStart w:id="110" w:name="_Toc509844763"/>
      <w:bookmarkStart w:id="111" w:name="_Toc11517"/>
      <w:r>
        <w:rPr>
          <w:rFonts w:hint="eastAsia"/>
        </w:rPr>
        <w:t>外窗内外表面风压</w:t>
      </w:r>
      <w:bookmarkEnd w:id="109"/>
      <w:r>
        <w:rPr>
          <w:rFonts w:hint="eastAsia"/>
        </w:rPr>
        <w:t>差达标分析</w:t>
      </w:r>
      <w:bookmarkEnd w:id="110"/>
      <w:bookmarkEnd w:id="111"/>
    </w:p>
    <w:p>
      <w:pPr>
        <w:pStyle w:val="3"/>
        <w:ind w:firstLine="420"/>
      </w:pPr>
      <w:r>
        <w:rPr>
          <w:rFonts w:hint="eastAsia"/>
          <w:lang w:val="en-US"/>
        </w:rPr>
        <w:t>分析《绿色建筑评价标准》，</w:t>
      </w:r>
      <w:bookmarkStart w:id="112" w:name="季节9"/>
      <w:r>
        <w:rPr>
          <w:rFonts w:hint="eastAsia"/>
          <w:lang w:val="en-US"/>
        </w:rPr>
        <w:t>过渡季</w:t>
      </w:r>
      <w:bookmarkEnd w:id="112"/>
      <w:r>
        <w:rPr>
          <w:rFonts w:hint="eastAsia"/>
          <w:lang w:val="en-US"/>
        </w:rPr>
        <w:t>为充分利用自然通风获得良好的室内风环境，要求50%以上可开启外窗室内外表面的风压差大于0.5Pa，如满足该条款可得1分。</w:t>
      </w:r>
    </w:p>
    <w:p>
      <w:pPr>
        <w:pStyle w:val="3"/>
        <w:ind w:firstLine="420"/>
      </w:pPr>
      <w:r>
        <w:rPr>
          <w:rFonts w:hint="eastAsia"/>
          <w:lang w:val="en-US"/>
        </w:rPr>
        <w:t>可见在</w:t>
      </w:r>
      <w:r>
        <w:rPr>
          <w:rFonts w:hint="eastAsia"/>
          <w:lang w:val="en-US" w:eastAsia="zh-CN"/>
        </w:rPr>
        <w:t>春</w:t>
      </w:r>
      <w:r>
        <w:rPr>
          <w:rFonts w:hint="eastAsia"/>
          <w:lang w:val="en-US"/>
        </w:rPr>
        <w:t>季，为了获得良好的室内风环境，首先要有良好的室外风环境。当外窗关闭时，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r>
        <w:rPr>
          <w:rFonts w:hint="eastAsia"/>
        </w:rPr>
        <w:t>下表为提取的外窗外表面平均风压数据，相当于外窗室内外表面风压差数据，并依据标准做出达标判断：</w:t>
      </w:r>
    </w:p>
    <w:p>
      <w:pPr>
        <w:pStyle w:val="13"/>
        <w:jc w:val="center"/>
      </w:pPr>
      <w:r>
        <w:rPr>
          <w:rFonts w:hint="eastAsia" w:ascii="黑体" w:hAnsi="黑体"/>
        </w:rPr>
        <w:t xml:space="preserve">表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5.4</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表 \* ARABIC \s 2</w:instrText>
      </w:r>
      <w:r>
        <w:rPr>
          <w:rFonts w:ascii="黑体" w:hAnsi="黑体"/>
        </w:rPr>
        <w:instrText xml:space="preserve"> </w:instrText>
      </w:r>
      <w:r>
        <w:rPr>
          <w:rFonts w:ascii="黑体" w:hAnsi="黑体"/>
        </w:rPr>
        <w:fldChar w:fldCharType="separate"/>
      </w:r>
      <w:r>
        <w:rPr>
          <w:rFonts w:ascii="黑体" w:hAnsi="黑体"/>
        </w:rPr>
        <w:t>2</w:t>
      </w:r>
      <w:r>
        <w:rPr>
          <w:rFonts w:ascii="黑体" w:hAnsi="黑体"/>
        </w:rPr>
        <w:fldChar w:fldCharType="end"/>
      </w:r>
      <w:r>
        <w:rPr>
          <w:rFonts w:ascii="黑体" w:hAnsi="黑体"/>
        </w:rPr>
        <w:t xml:space="preserve"> </w:t>
      </w:r>
      <w:r>
        <w:rPr>
          <w:rFonts w:hint="eastAsia"/>
        </w:rPr>
        <w:t>建筑外窗室内外风压差达标判定表</w:t>
      </w:r>
    </w:p>
    <w:tbl>
      <w:tblPr>
        <w:tblStyle w:val="21"/>
        <w:tblW w:w="9303" w:type="dxa"/>
        <w:tblInd w:w="-123"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4361"/>
        <w:gridCol w:w="1134"/>
        <w:gridCol w:w="1984"/>
        <w:gridCol w:w="1116"/>
        <w:gridCol w:w="708"/>
      </w:tblGrid>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rPr>
          <w:tblHeader/>
        </w:trPr>
        <w:tc>
          <w:tcPr>
            <w:tcW w:w="4361" w:type="dxa"/>
            <w:shd w:val="clear" w:color="auto" w:fill="E6E6E6"/>
            <w:vAlign w:val="center"/>
          </w:tcPr>
          <w:p>
            <w:pPr>
              <w:jc w:val="center"/>
              <w:rPr>
                <w:lang w:val="en-US"/>
              </w:rPr>
            </w:pPr>
            <w:r>
              <w:rPr>
                <w:rFonts w:hint="eastAsia"/>
                <w:lang w:val="en-US"/>
              </w:rPr>
              <w:t>建筑编号</w:t>
            </w:r>
          </w:p>
        </w:tc>
        <w:tc>
          <w:tcPr>
            <w:tcW w:w="1134" w:type="dxa"/>
            <w:shd w:val="clear" w:color="auto" w:fill="E6E6E6"/>
            <w:vAlign w:val="center"/>
          </w:tcPr>
          <w:p>
            <w:pPr>
              <w:jc w:val="center"/>
              <w:rPr>
                <w:lang w:val="en-US"/>
              </w:rPr>
            </w:pPr>
            <w:r>
              <w:rPr>
                <w:rFonts w:hint="eastAsia"/>
                <w:lang w:val="en-US"/>
              </w:rPr>
              <w:t>可开启外窗总数</w:t>
            </w:r>
          </w:p>
        </w:tc>
        <w:tc>
          <w:tcPr>
            <w:tcW w:w="1984" w:type="dxa"/>
            <w:shd w:val="clear" w:color="auto" w:fill="E6E6E6"/>
            <w:vAlign w:val="center"/>
          </w:tcPr>
          <w:p>
            <w:pPr>
              <w:jc w:val="center"/>
              <w:rPr>
                <w:lang w:val="en-US"/>
              </w:rPr>
            </w:pPr>
            <w:r>
              <w:rPr>
                <w:rFonts w:hint="eastAsia"/>
                <w:lang w:val="en-US"/>
              </w:rPr>
              <w:t>室内外风压差大于0.5Pa的外窗总数</w:t>
            </w:r>
          </w:p>
        </w:tc>
        <w:tc>
          <w:tcPr>
            <w:tcW w:w="1116" w:type="dxa"/>
            <w:shd w:val="clear" w:color="auto" w:fill="E6E6E6"/>
            <w:vAlign w:val="center"/>
          </w:tcPr>
          <w:p>
            <w:pPr>
              <w:jc w:val="center"/>
              <w:rPr>
                <w:lang w:val="en-US"/>
              </w:rPr>
            </w:pPr>
            <w:r>
              <w:rPr>
                <w:rFonts w:hint="eastAsia"/>
                <w:lang w:val="en-US"/>
              </w:rPr>
              <w:t>达标比例（%）</w:t>
            </w:r>
          </w:p>
        </w:tc>
        <w:tc>
          <w:tcPr>
            <w:tcW w:w="708" w:type="dxa"/>
            <w:shd w:val="clear" w:color="auto" w:fill="E6E6E6"/>
            <w:vAlign w:val="center"/>
          </w:tcPr>
          <w:p>
            <w:pPr>
              <w:jc w:val="center"/>
              <w:rPr>
                <w:lang w:val="en-US"/>
              </w:rPr>
            </w:pPr>
            <w:r>
              <w:rPr>
                <w:rFonts w:hint="eastAsia"/>
                <w:lang w:val="en-US"/>
              </w:rPr>
              <w:t>是否达标</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4361" w:type="dxa"/>
            <w:shd w:val="clear" w:color="auto" w:fill="auto"/>
            <w:vAlign w:val="center"/>
          </w:tcPr>
          <w:p>
            <w:pPr>
              <w:jc w:val="center"/>
              <w:rPr>
                <w:lang w:val="en-US"/>
              </w:rPr>
            </w:pPr>
            <w:r>
              <w:rPr>
                <w:lang w:val="en-US"/>
              </w:rPr>
              <w:t>小学(小学\小学节能)</w:t>
            </w:r>
          </w:p>
        </w:tc>
        <w:tc>
          <w:tcPr>
            <w:tcW w:w="1134" w:type="dxa"/>
            <w:shd w:val="clear" w:color="auto" w:fill="auto"/>
            <w:vAlign w:val="center"/>
          </w:tcPr>
          <w:p>
            <w:pPr>
              <w:jc w:val="center"/>
              <w:rPr>
                <w:rFonts w:hint="default" w:eastAsia="宋体"/>
                <w:lang w:val="en-US" w:eastAsia="zh-CN"/>
              </w:rPr>
            </w:pPr>
            <w:r>
              <w:rPr>
                <w:rFonts w:hint="eastAsia"/>
                <w:lang w:val="en-US" w:eastAsia="zh-CN"/>
              </w:rPr>
              <w:t>112</w:t>
            </w:r>
          </w:p>
        </w:tc>
        <w:tc>
          <w:tcPr>
            <w:tcW w:w="1984" w:type="dxa"/>
            <w:shd w:val="clear" w:color="auto" w:fill="auto"/>
            <w:vAlign w:val="center"/>
          </w:tcPr>
          <w:p>
            <w:pPr>
              <w:jc w:val="center"/>
              <w:rPr>
                <w:rFonts w:hint="default" w:eastAsia="宋体"/>
                <w:lang w:val="en-US" w:eastAsia="zh-CN"/>
              </w:rPr>
            </w:pPr>
            <w:r>
              <w:rPr>
                <w:rFonts w:hint="eastAsia"/>
                <w:lang w:val="en-US" w:eastAsia="zh-CN"/>
              </w:rPr>
              <w:t>100</w:t>
            </w:r>
          </w:p>
        </w:tc>
        <w:tc>
          <w:tcPr>
            <w:tcW w:w="1116" w:type="dxa"/>
            <w:shd w:val="clear" w:color="auto" w:fill="auto"/>
            <w:vAlign w:val="center"/>
          </w:tcPr>
          <w:p>
            <w:pPr>
              <w:jc w:val="center"/>
              <w:rPr>
                <w:lang w:val="en-US"/>
              </w:rPr>
            </w:pPr>
            <w:r>
              <w:rPr>
                <w:lang w:val="en-US"/>
              </w:rPr>
              <w:t>89.78</w:t>
            </w:r>
          </w:p>
        </w:tc>
        <w:tc>
          <w:tcPr>
            <w:tcW w:w="708" w:type="dxa"/>
            <w:shd w:val="clear" w:color="auto" w:fill="auto"/>
            <w:vAlign w:val="center"/>
          </w:tcPr>
          <w:p>
            <w:pPr>
              <w:jc w:val="center"/>
              <w:rPr>
                <w:lang w:val="en-US"/>
              </w:rPr>
            </w:pPr>
            <w:r>
              <w:rPr>
                <w:lang w:val="en-US"/>
              </w:rPr>
              <w:t>是</w:t>
            </w:r>
          </w:p>
        </w:tc>
      </w:tr>
    </w:tbl>
    <w:p>
      <w:r>
        <w:rPr>
          <w:rFonts w:hint="eastAsia"/>
          <w:lang w:val="en-US"/>
        </w:rPr>
        <w:t>说明：达标比例＝（室内外风压差大于0.5Pa的总数/可开启外窗总数）*100％</w:t>
      </w:r>
    </w:p>
    <w:p>
      <w:pPr>
        <w:pStyle w:val="4"/>
      </w:pPr>
      <w:bookmarkStart w:id="113" w:name="建筑外窗室内外风压差达标判定"/>
      <w:bookmarkEnd w:id="113"/>
      <w:bookmarkStart w:id="114" w:name="_Toc10289"/>
      <w:r>
        <w:rPr>
          <w:rFonts w:hint="eastAsia"/>
          <w:lang w:val="en-US" w:eastAsia="zh-CN"/>
        </w:rPr>
        <w:t>秋</w:t>
      </w:r>
      <w:r>
        <w:rPr>
          <w:rFonts w:hint="eastAsia"/>
        </w:rPr>
        <w:t>季工况</w:t>
      </w:r>
      <w:bookmarkEnd w:id="114"/>
    </w:p>
    <w:p>
      <w:pPr>
        <w:pStyle w:val="3"/>
        <w:ind w:firstLine="420"/>
      </w:pPr>
      <w:r>
        <w:rPr>
          <w:rFonts w:hint="eastAsia"/>
          <w:lang w:val="en-US"/>
        </w:rPr>
        <w:t>本项目</w:t>
      </w:r>
      <w:r>
        <w:rPr>
          <w:rFonts w:hint="eastAsia"/>
          <w:lang w:val="en-US" w:eastAsia="zh-CN"/>
        </w:rPr>
        <w:t>春</w:t>
      </w:r>
      <w:r>
        <w:rPr>
          <w:rFonts w:hint="eastAsia"/>
          <w:lang w:val="en-US"/>
        </w:rPr>
        <w:t>季工况的入口边界风速为</w:t>
      </w:r>
      <w:r>
        <w:rPr>
          <w:rFonts w:hint="eastAsia"/>
          <w:lang w:val="en-US" w:eastAsia="zh-CN"/>
        </w:rPr>
        <w:t>2.60</w:t>
      </w:r>
      <w:r>
        <w:rPr>
          <w:rFonts w:hint="eastAsia"/>
          <w:lang w:val="en-US"/>
        </w:rPr>
        <w:t>m/s，风向为</w:t>
      </w:r>
      <w:r>
        <w:rPr>
          <w:rFonts w:hint="eastAsia"/>
          <w:lang w:val="en-US" w:eastAsia="zh-CN"/>
        </w:rPr>
        <w:t>45°</w:t>
      </w:r>
      <w:r>
        <w:rPr>
          <w:rFonts w:hint="eastAsia"/>
          <w:lang w:val="en-US"/>
        </w:rPr>
        <w:t>。</w:t>
      </w:r>
    </w:p>
    <w:p>
      <w:pPr>
        <w:pStyle w:val="3"/>
        <w:ind w:firstLine="420"/>
      </w:pPr>
      <w:r>
        <w:rPr>
          <w:rFonts w:hint="eastAsia"/>
          <w:lang w:val="en-US"/>
        </w:rPr>
        <w:t>根据前述《绿色建筑评价标准》 对于夏季工况的要求，过渡季典型风速和风向条件下，场地内人活动区不出现涡旋或无风区，如达到要求可得2分。通过该项标准指导设计确保合理的建筑布局，在过渡季形成有效的巷道风，优化街区自然通风环境，避免过渡季人行区有明显的气流旋涡和无风区，从而造成闷热不适感。因此本项目需要分析建筑周围人行区的风速和风速放大系数分布，并作出判断。</w:t>
      </w:r>
    </w:p>
    <w:p>
      <w:pPr>
        <w:pStyle w:val="3"/>
        <w:ind w:firstLine="422"/>
        <w:rPr>
          <w:lang w:val="en-US"/>
        </w:rPr>
      </w:pPr>
      <w:r>
        <w:rPr>
          <w:rFonts w:hint="eastAsia"/>
          <w:b/>
          <w:lang w:val="en-US"/>
        </w:rPr>
        <w:t>无风区的定义</w:t>
      </w:r>
      <w:r>
        <w:rPr>
          <w:rFonts w:hint="eastAsia"/>
          <w:lang w:val="en-US"/>
        </w:rPr>
        <w:t xml:space="preserve"> 通常当人行区域风速≤0.2m/s时，该区域风向标处于静止状态，在此区域活动的人会有明显的无风感，则该区域为无风区。</w:t>
      </w:r>
    </w:p>
    <w:p>
      <w:pPr>
        <w:pStyle w:val="3"/>
        <w:ind w:firstLine="409" w:firstLineChars="195"/>
        <w:rPr>
          <w:rFonts w:ascii="黑体" w:hAnsi="黑体" w:eastAsia="黑体"/>
          <w:szCs w:val="20"/>
        </w:rPr>
      </w:pPr>
      <w:r>
        <w:rPr>
          <w:rFonts w:hint="eastAsia" w:ascii="黑体" w:hAnsi="黑体" w:eastAsia="黑体"/>
          <w:szCs w:val="20"/>
          <w:lang w:val="en-US"/>
        </w:rPr>
        <w:t>注：无风区的定义参考《</w:t>
      </w:r>
      <w:r>
        <w:rPr>
          <w:rFonts w:hint="eastAsia" w:ascii="黑体" w:hAnsi="黑体" w:eastAsia="黑体"/>
          <w:szCs w:val="20"/>
        </w:rPr>
        <w:t>建筑设计资料集</w:t>
      </w:r>
      <w:r>
        <w:rPr>
          <w:rFonts w:hint="eastAsia" w:ascii="黑体" w:hAnsi="黑体" w:eastAsia="黑体"/>
          <w:szCs w:val="20"/>
          <w:lang w:val="en-US"/>
        </w:rPr>
        <w:t>》第一分册，第二版。</w:t>
      </w:r>
    </w:p>
    <w:p>
      <w:pPr>
        <w:pStyle w:val="5"/>
      </w:pPr>
      <w:bookmarkStart w:id="115" w:name="_Toc431"/>
      <w:r>
        <w:rPr>
          <w:rFonts w:hint="eastAsia"/>
        </w:rPr>
        <w:t>无风区计算分析</w:t>
      </w:r>
      <w:bookmarkEnd w:id="115"/>
    </w:p>
    <w:p>
      <w:pPr>
        <w:pStyle w:val="6"/>
      </w:pPr>
      <w:r>
        <w:rPr>
          <w:rFonts w:hint="eastAsia"/>
        </w:rPr>
        <w:t>计算域内无风区分析</w:t>
      </w:r>
    </w:p>
    <w:p>
      <w:pPr>
        <w:pStyle w:val="3"/>
        <w:tabs>
          <w:tab w:val="left" w:pos="426"/>
        </w:tabs>
        <w:ind w:firstLine="420"/>
      </w:pPr>
      <w:r>
        <w:rPr>
          <w:rFonts w:hint="eastAsia"/>
        </w:rPr>
        <w:t>下图为整个计算域内风速分布云图，参考图中速度分布可以对项目中建筑布局进行优化。分析下图，</w:t>
      </w:r>
      <w:r>
        <w:rPr>
          <w:rFonts w:hint="eastAsia"/>
          <w:lang w:val="en-US"/>
        </w:rPr>
        <w:t>计算域内没有明显的旋涡产生，本项目建筑布局基本合理。</w:t>
      </w:r>
    </w:p>
    <w:p>
      <w:pPr>
        <w:pStyle w:val="3"/>
        <w:spacing w:after="156" w:afterLines="50"/>
        <w:ind w:firstLine="0" w:firstLineChars="0"/>
        <w:jc w:val="center"/>
      </w:pPr>
      <w:r>
        <w:drawing>
          <wp:inline distT="0" distB="0" distL="0" distR="0">
            <wp:extent cx="3470910" cy="3629025"/>
            <wp:effectExtent l="9525" t="9525" r="24765" b="1905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73"/>
                    <a:stretch>
                      <a:fillRect/>
                    </a:stretch>
                  </pic:blipFill>
                  <pic:spPr>
                    <a:xfrm>
                      <a:off x="0" y="0"/>
                      <a:ext cx="3488401" cy="3647157"/>
                    </a:xfrm>
                    <a:prstGeom prst="rect">
                      <a:avLst/>
                    </a:prstGeom>
                    <a:ln>
                      <a:solidFill>
                        <a:srgbClr val="0000FF"/>
                      </a:solidFill>
                    </a:ln>
                  </pic:spPr>
                </pic:pic>
              </a:graphicData>
            </a:graphic>
          </wp:inline>
        </w:drawing>
      </w:r>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计算域内-1.5米高度水平面风速云图-过渡季</w:t>
      </w:r>
    </w:p>
    <w:p>
      <w:pPr>
        <w:pStyle w:val="5"/>
      </w:pPr>
      <w:bookmarkStart w:id="116" w:name="_Toc6996"/>
      <w:r>
        <w:rPr>
          <w:rFonts w:hint="eastAsia"/>
        </w:rPr>
        <w:t>旋涡区分析</w:t>
      </w:r>
      <w:bookmarkEnd w:id="116"/>
    </w:p>
    <w:p>
      <w:pPr>
        <w:pStyle w:val="6"/>
      </w:pPr>
      <w:r>
        <w:rPr>
          <w:rFonts w:hint="eastAsia"/>
        </w:rPr>
        <w:t>计算域内旋涡区分析</w:t>
      </w:r>
    </w:p>
    <w:p>
      <w:pPr>
        <w:pStyle w:val="3"/>
        <w:tabs>
          <w:tab w:val="left" w:pos="426"/>
        </w:tabs>
        <w:ind w:firstLine="420"/>
        <w:rPr>
          <w:lang w:val="en-US"/>
        </w:rPr>
      </w:pPr>
      <w:r>
        <w:rPr>
          <w:rFonts w:hint="eastAsia"/>
          <w:lang w:val="en-US"/>
        </w:rPr>
        <w:t>下图为计算域内的风速矢量图，分析下图可知，计算域内没有明显的旋涡产生，本项目建筑布局基本合理。</w:t>
      </w:r>
    </w:p>
    <w:p>
      <w:pPr>
        <w:pStyle w:val="3"/>
        <w:ind w:firstLine="0" w:firstLineChars="0"/>
        <w:jc w:val="center"/>
        <w:rPr>
          <w:lang w:val="en-US"/>
        </w:rPr>
      </w:pPr>
      <w:r>
        <w:drawing>
          <wp:inline distT="0" distB="0" distL="0" distR="0">
            <wp:extent cx="3719830" cy="3733800"/>
            <wp:effectExtent l="9525" t="9525" r="23495"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74"/>
                    <a:stretch>
                      <a:fillRect/>
                    </a:stretch>
                  </pic:blipFill>
                  <pic:spPr>
                    <a:xfrm>
                      <a:off x="0" y="0"/>
                      <a:ext cx="3732531" cy="3746461"/>
                    </a:xfrm>
                    <a:prstGeom prst="rect">
                      <a:avLst/>
                    </a:prstGeom>
                    <a:ln>
                      <a:solidFill>
                        <a:srgbClr val="0000FF"/>
                      </a:solidFill>
                    </a:ln>
                  </pic:spPr>
                </pic:pic>
              </a:graphicData>
            </a:graphic>
          </wp:inline>
        </w:drawing>
      </w:r>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2</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计算域内-1.5米高度水平面风速矢量图</w:t>
      </w:r>
    </w:p>
    <w:p>
      <w:pPr>
        <w:pStyle w:val="5"/>
      </w:pPr>
      <w:bookmarkStart w:id="117" w:name="_Toc1464"/>
      <w:r>
        <w:rPr>
          <w:rFonts w:hint="eastAsia"/>
        </w:rPr>
        <w:t>人行区域旋涡区/无风区达标判定</w:t>
      </w:r>
      <w:bookmarkEnd w:id="117"/>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表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表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 xml:space="preserve"> 过渡季无风区/旋涡区达标分析汇总</w:t>
      </w:r>
    </w:p>
    <w:tbl>
      <w:tblPr>
        <w:tblStyle w:val="21"/>
        <w:tblW w:w="6662" w:type="dxa"/>
        <w:tblInd w:w="1526" w:type="dxa"/>
        <w:tblLayout w:type="fixed"/>
        <w:tblCellMar>
          <w:top w:w="0" w:type="dxa"/>
          <w:left w:w="108" w:type="dxa"/>
          <w:bottom w:w="0" w:type="dxa"/>
          <w:right w:w="108" w:type="dxa"/>
        </w:tblCellMar>
      </w:tblPr>
      <w:tblGrid>
        <w:gridCol w:w="1134"/>
        <w:gridCol w:w="1701"/>
        <w:gridCol w:w="2551"/>
        <w:gridCol w:w="1276"/>
      </w:tblGrid>
      <w:tr>
        <w:tblPrEx>
          <w:tblLayout w:type="fixed"/>
          <w:tblCellMar>
            <w:top w:w="0" w:type="dxa"/>
            <w:left w:w="108" w:type="dxa"/>
            <w:bottom w:w="0" w:type="dxa"/>
            <w:right w:w="108" w:type="dxa"/>
          </w:tblCellMar>
        </w:tblPrEx>
        <w:trPr>
          <w:trHeight w:val="270" w:hRule="atLeast"/>
        </w:trPr>
        <w:tc>
          <w:tcPr>
            <w:tcW w:w="1134"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评价量</w:t>
            </w:r>
          </w:p>
        </w:tc>
        <w:tc>
          <w:tcPr>
            <w:tcW w:w="170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是否有无风区/旋涡区</w:t>
            </w:r>
          </w:p>
        </w:tc>
        <w:tc>
          <w:tcPr>
            <w:tcW w:w="1276" w:type="dxa"/>
            <w:tcBorders>
              <w:top w:val="single" w:color="auto" w:sz="4" w:space="0"/>
              <w:left w:val="nil"/>
              <w:bottom w:val="single" w:color="auto" w:sz="4" w:space="0"/>
              <w:right w:val="single" w:color="auto" w:sz="4" w:space="0"/>
            </w:tcBorders>
            <w:shd w:val="clear" w:color="auto" w:fill="auto"/>
            <w:noWrap/>
            <w:vAlign w:val="center"/>
          </w:tcPr>
          <w:p>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达标判断</w:t>
            </w:r>
          </w:p>
        </w:tc>
      </w:tr>
      <w:tr>
        <w:tblPrEx>
          <w:tblLayout w:type="fixed"/>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无风区</w:t>
            </w:r>
          </w:p>
        </w:tc>
        <w:tc>
          <w:tcPr>
            <w:tcW w:w="1701" w:type="dxa"/>
            <w:tcBorders>
              <w:top w:val="nil"/>
              <w:left w:val="nil"/>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无风区面积为0</w:t>
            </w:r>
          </w:p>
        </w:tc>
        <w:tc>
          <w:tcPr>
            <w:tcW w:w="2551"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否</w:t>
            </w:r>
          </w:p>
        </w:tc>
        <w:tc>
          <w:tcPr>
            <w:tcW w:w="1276"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是</w:t>
            </w:r>
          </w:p>
        </w:tc>
      </w:tr>
      <w:tr>
        <w:tblPrEx>
          <w:tblLayout w:type="fixed"/>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旋涡区</w:t>
            </w:r>
          </w:p>
        </w:tc>
        <w:tc>
          <w:tcPr>
            <w:tcW w:w="1701" w:type="dxa"/>
            <w:tcBorders>
              <w:top w:val="nil"/>
              <w:left w:val="nil"/>
              <w:bottom w:val="single" w:color="auto" w:sz="4" w:space="0"/>
              <w:right w:val="single" w:color="auto" w:sz="4" w:space="0"/>
            </w:tcBorders>
            <w:shd w:val="clear" w:color="auto" w:fill="auto"/>
            <w:noWrap/>
            <w:vAlign w:val="center"/>
          </w:tcPr>
          <w:p>
            <w:pPr>
              <w:rPr>
                <w:rFonts w:ascii="宋体" w:hAnsi="宋体" w:cs="宋体"/>
                <w:szCs w:val="21"/>
              </w:rPr>
            </w:pPr>
            <w:r>
              <w:rPr>
                <w:rFonts w:hint="eastAsia" w:ascii="宋体" w:hAnsi="宋体" w:cs="宋体"/>
                <w:szCs w:val="21"/>
              </w:rPr>
              <w:t>旋涡区面积为0</w:t>
            </w:r>
          </w:p>
        </w:tc>
        <w:tc>
          <w:tcPr>
            <w:tcW w:w="2551"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否</w:t>
            </w:r>
          </w:p>
        </w:tc>
        <w:tc>
          <w:tcPr>
            <w:tcW w:w="1276" w:type="dxa"/>
            <w:tcBorders>
              <w:top w:val="nil"/>
              <w:left w:val="nil"/>
              <w:bottom w:val="single" w:color="auto" w:sz="4" w:space="0"/>
              <w:right w:val="single" w:color="auto" w:sz="4" w:space="0"/>
            </w:tcBorders>
            <w:shd w:val="clear" w:color="auto" w:fill="auto"/>
            <w:noWrap/>
            <w:vAlign w:val="center"/>
          </w:tcPr>
          <w:p>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是</w:t>
            </w:r>
          </w:p>
        </w:tc>
      </w:tr>
    </w:tbl>
    <w:p>
      <w:pPr>
        <w:pStyle w:val="5"/>
      </w:pPr>
      <w:bookmarkStart w:id="118" w:name="_Toc25473"/>
      <w:r>
        <w:rPr>
          <w:rFonts w:hint="eastAsia"/>
        </w:rPr>
        <w:t>外窗内外表面风压差达标分析</w:t>
      </w:r>
      <w:bookmarkEnd w:id="118"/>
    </w:p>
    <w:p>
      <w:pPr>
        <w:pStyle w:val="3"/>
        <w:ind w:firstLine="420"/>
      </w:pPr>
      <w:r>
        <w:rPr>
          <w:rFonts w:hint="eastAsia"/>
          <w:lang w:val="en-US"/>
        </w:rPr>
        <w:t>分析《绿色建筑评价标准》，过渡季为充分利用自然通风获得良好的室内风环境，要求50%以上可开启外窗室内外表面的风压差大于0.5Pa，如满足该条款可得1分。</w:t>
      </w:r>
    </w:p>
    <w:p>
      <w:pPr>
        <w:pStyle w:val="3"/>
        <w:ind w:firstLine="420"/>
      </w:pPr>
      <w:r>
        <w:rPr>
          <w:rFonts w:hint="eastAsia"/>
          <w:lang w:val="en-US"/>
        </w:rPr>
        <w:t>可见在</w:t>
      </w:r>
      <w:r>
        <w:rPr>
          <w:rFonts w:hint="eastAsia"/>
          <w:lang w:val="en-US" w:eastAsia="zh-CN"/>
        </w:rPr>
        <w:t>秋</w:t>
      </w:r>
      <w:r>
        <w:rPr>
          <w:rFonts w:hint="eastAsia"/>
          <w:lang w:val="en-US"/>
        </w:rPr>
        <w:t>季，为了获得良好的室内风环境，首先要有良好的室外风环境。当外窗关闭时，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r>
        <w:rPr>
          <w:rFonts w:hint="eastAsia"/>
        </w:rPr>
        <w:t>下表为提取的外窗外表面平均风压数据，相当于外窗室内外表面风压差数据，并依据标准做出达标判断：</w:t>
      </w:r>
    </w:p>
    <w:p>
      <w:pPr>
        <w:pStyle w:val="13"/>
        <w:jc w:val="center"/>
      </w:pPr>
      <w:r>
        <w:rPr>
          <w:rFonts w:hint="eastAsia" w:ascii="黑体" w:hAnsi="黑体"/>
        </w:rPr>
        <w:t xml:space="preserve">表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5.4</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表 \* ARABIC \s 2</w:instrText>
      </w:r>
      <w:r>
        <w:rPr>
          <w:rFonts w:ascii="黑体" w:hAnsi="黑体"/>
        </w:rPr>
        <w:instrText xml:space="preserve"> </w:instrText>
      </w:r>
      <w:r>
        <w:rPr>
          <w:rFonts w:ascii="黑体" w:hAnsi="黑体"/>
        </w:rPr>
        <w:fldChar w:fldCharType="separate"/>
      </w:r>
      <w:r>
        <w:rPr>
          <w:rFonts w:ascii="黑体" w:hAnsi="黑体"/>
        </w:rPr>
        <w:t>2</w:t>
      </w:r>
      <w:r>
        <w:rPr>
          <w:rFonts w:ascii="黑体" w:hAnsi="黑体"/>
        </w:rPr>
        <w:fldChar w:fldCharType="end"/>
      </w:r>
      <w:r>
        <w:rPr>
          <w:rFonts w:ascii="黑体" w:hAnsi="黑体"/>
        </w:rPr>
        <w:t xml:space="preserve"> </w:t>
      </w:r>
      <w:r>
        <w:rPr>
          <w:rFonts w:hint="eastAsia"/>
        </w:rPr>
        <w:t>建筑外窗室内外风压差达标判定表</w:t>
      </w:r>
    </w:p>
    <w:tbl>
      <w:tblPr>
        <w:tblStyle w:val="21"/>
        <w:tblW w:w="9303" w:type="dxa"/>
        <w:tblInd w:w="-123"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4361"/>
        <w:gridCol w:w="1134"/>
        <w:gridCol w:w="1984"/>
        <w:gridCol w:w="1116"/>
        <w:gridCol w:w="708"/>
      </w:tblGrid>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rPr>
          <w:tblHeader/>
        </w:trPr>
        <w:tc>
          <w:tcPr>
            <w:tcW w:w="4361" w:type="dxa"/>
            <w:shd w:val="clear" w:color="auto" w:fill="E6E6E6"/>
            <w:vAlign w:val="center"/>
          </w:tcPr>
          <w:p>
            <w:pPr>
              <w:jc w:val="center"/>
              <w:rPr>
                <w:lang w:val="en-US"/>
              </w:rPr>
            </w:pPr>
            <w:r>
              <w:rPr>
                <w:rFonts w:hint="eastAsia"/>
                <w:lang w:val="en-US"/>
              </w:rPr>
              <w:t>建筑编号</w:t>
            </w:r>
          </w:p>
        </w:tc>
        <w:tc>
          <w:tcPr>
            <w:tcW w:w="1134" w:type="dxa"/>
            <w:shd w:val="clear" w:color="auto" w:fill="E6E6E6"/>
            <w:vAlign w:val="center"/>
          </w:tcPr>
          <w:p>
            <w:pPr>
              <w:jc w:val="center"/>
              <w:rPr>
                <w:lang w:val="en-US"/>
              </w:rPr>
            </w:pPr>
            <w:r>
              <w:rPr>
                <w:rFonts w:hint="eastAsia"/>
                <w:lang w:val="en-US"/>
              </w:rPr>
              <w:t>可开启外窗总数</w:t>
            </w:r>
          </w:p>
        </w:tc>
        <w:tc>
          <w:tcPr>
            <w:tcW w:w="1984" w:type="dxa"/>
            <w:shd w:val="clear" w:color="auto" w:fill="E6E6E6"/>
            <w:vAlign w:val="center"/>
          </w:tcPr>
          <w:p>
            <w:pPr>
              <w:jc w:val="center"/>
              <w:rPr>
                <w:lang w:val="en-US"/>
              </w:rPr>
            </w:pPr>
            <w:r>
              <w:rPr>
                <w:rFonts w:hint="eastAsia"/>
                <w:lang w:val="en-US"/>
              </w:rPr>
              <w:t>室内外风压差大于0.5Pa的外窗总数</w:t>
            </w:r>
          </w:p>
        </w:tc>
        <w:tc>
          <w:tcPr>
            <w:tcW w:w="1116" w:type="dxa"/>
            <w:shd w:val="clear" w:color="auto" w:fill="E6E6E6"/>
            <w:vAlign w:val="center"/>
          </w:tcPr>
          <w:p>
            <w:pPr>
              <w:jc w:val="center"/>
              <w:rPr>
                <w:lang w:val="en-US"/>
              </w:rPr>
            </w:pPr>
            <w:r>
              <w:rPr>
                <w:rFonts w:hint="eastAsia"/>
                <w:lang w:val="en-US"/>
              </w:rPr>
              <w:t>达标比例（%）</w:t>
            </w:r>
          </w:p>
        </w:tc>
        <w:tc>
          <w:tcPr>
            <w:tcW w:w="708" w:type="dxa"/>
            <w:shd w:val="clear" w:color="auto" w:fill="E6E6E6"/>
            <w:vAlign w:val="center"/>
          </w:tcPr>
          <w:p>
            <w:pPr>
              <w:jc w:val="center"/>
              <w:rPr>
                <w:lang w:val="en-US"/>
              </w:rPr>
            </w:pPr>
            <w:r>
              <w:rPr>
                <w:rFonts w:hint="eastAsia"/>
                <w:lang w:val="en-US"/>
              </w:rPr>
              <w:t>是否达标</w:t>
            </w:r>
          </w:p>
        </w:tc>
      </w:tr>
      <w:tr>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Ex>
        <w:tc>
          <w:tcPr>
            <w:tcW w:w="4361" w:type="dxa"/>
            <w:shd w:val="clear" w:color="auto" w:fill="auto"/>
            <w:vAlign w:val="center"/>
          </w:tcPr>
          <w:p>
            <w:pPr>
              <w:jc w:val="center"/>
              <w:rPr>
                <w:lang w:val="en-US"/>
              </w:rPr>
            </w:pPr>
            <w:r>
              <w:rPr>
                <w:lang w:val="en-US"/>
              </w:rPr>
              <w:t>小学(小学\小学节能)</w:t>
            </w:r>
          </w:p>
        </w:tc>
        <w:tc>
          <w:tcPr>
            <w:tcW w:w="1134" w:type="dxa"/>
            <w:shd w:val="clear" w:color="auto" w:fill="auto"/>
            <w:vAlign w:val="center"/>
          </w:tcPr>
          <w:p>
            <w:pPr>
              <w:jc w:val="center"/>
              <w:rPr>
                <w:rFonts w:hint="default" w:eastAsia="宋体"/>
                <w:lang w:val="en-US" w:eastAsia="zh-CN"/>
              </w:rPr>
            </w:pPr>
            <w:r>
              <w:rPr>
                <w:rFonts w:hint="eastAsia"/>
                <w:lang w:val="en-US" w:eastAsia="zh-CN"/>
              </w:rPr>
              <w:t>112</w:t>
            </w:r>
          </w:p>
        </w:tc>
        <w:tc>
          <w:tcPr>
            <w:tcW w:w="1984" w:type="dxa"/>
            <w:shd w:val="clear" w:color="auto" w:fill="auto"/>
            <w:vAlign w:val="center"/>
          </w:tcPr>
          <w:p>
            <w:pPr>
              <w:jc w:val="center"/>
              <w:rPr>
                <w:rFonts w:hint="default" w:eastAsia="宋体"/>
                <w:lang w:val="en-US" w:eastAsia="zh-CN"/>
              </w:rPr>
            </w:pPr>
            <w:r>
              <w:rPr>
                <w:rFonts w:hint="eastAsia"/>
                <w:lang w:val="en-US" w:eastAsia="zh-CN"/>
              </w:rPr>
              <w:t>100</w:t>
            </w:r>
          </w:p>
        </w:tc>
        <w:tc>
          <w:tcPr>
            <w:tcW w:w="1116" w:type="dxa"/>
            <w:shd w:val="clear" w:color="auto" w:fill="auto"/>
            <w:vAlign w:val="center"/>
          </w:tcPr>
          <w:p>
            <w:pPr>
              <w:jc w:val="center"/>
              <w:rPr>
                <w:lang w:val="en-US"/>
              </w:rPr>
            </w:pPr>
            <w:r>
              <w:rPr>
                <w:lang w:val="en-US"/>
              </w:rPr>
              <w:t>89.78</w:t>
            </w:r>
          </w:p>
        </w:tc>
        <w:tc>
          <w:tcPr>
            <w:tcW w:w="708" w:type="dxa"/>
            <w:shd w:val="clear" w:color="auto" w:fill="auto"/>
            <w:vAlign w:val="center"/>
          </w:tcPr>
          <w:p>
            <w:pPr>
              <w:jc w:val="center"/>
              <w:rPr>
                <w:lang w:val="en-US"/>
              </w:rPr>
            </w:pPr>
            <w:r>
              <w:rPr>
                <w:lang w:val="en-US"/>
              </w:rPr>
              <w:t>是</w:t>
            </w:r>
          </w:p>
        </w:tc>
      </w:tr>
    </w:tbl>
    <w:p>
      <w:r>
        <w:rPr>
          <w:rFonts w:hint="eastAsia"/>
          <w:lang w:val="en-US"/>
        </w:rPr>
        <w:t>说明：达标比例＝（室内外风压差大于0.5Pa的总数/可开启外窗总数）*100％</w:t>
      </w:r>
    </w:p>
    <w:p>
      <w:pPr>
        <w:rPr>
          <w:lang w:val="en-US"/>
        </w:rPr>
      </w:pPr>
    </w:p>
    <w:p>
      <w:pPr>
        <w:pStyle w:val="4"/>
      </w:pPr>
      <w:bookmarkStart w:id="119" w:name="_Toc509844764"/>
      <w:bookmarkStart w:id="120" w:name="_Toc27258"/>
      <w:r>
        <w:rPr>
          <w:rFonts w:hint="eastAsia"/>
        </w:rPr>
        <w:t>结论</w:t>
      </w:r>
      <w:bookmarkEnd w:id="119"/>
      <w:bookmarkEnd w:id="120"/>
    </w:p>
    <w:p>
      <w:pPr>
        <w:pStyle w:val="5"/>
      </w:pPr>
      <w:bookmarkStart w:id="121" w:name="_Toc509844765"/>
      <w:bookmarkStart w:id="122" w:name="_Toc20227"/>
      <w:r>
        <w:rPr>
          <w:rFonts w:hint="eastAsia"/>
        </w:rPr>
        <w:t>冬季工况达标判断</w:t>
      </w:r>
      <w:bookmarkEnd w:id="121"/>
      <w:bookmarkEnd w:id="122"/>
      <w:bookmarkStart w:id="123" w:name="_Toc509844766"/>
      <w:bookmarkEnd w:id="123"/>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表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w:t>
      </w:r>
      <w:r>
        <w:rPr>
          <w:rFonts w:hint="eastAsia" w:ascii="黑体" w:hAnsi="黑体" w:eastAsia="黑体"/>
          <w:sz w:val="20"/>
          <w:szCs w:val="20"/>
          <w:lang w:val="en-US" w:eastAsia="zh-CN"/>
        </w:rPr>
        <w:t>6</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表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冬季工况达标判断表</w:t>
      </w:r>
    </w:p>
    <w:tbl>
      <w:tblPr>
        <w:tblStyle w:val="21"/>
        <w:tblW w:w="932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985"/>
        <w:gridCol w:w="1985"/>
        <w:gridCol w:w="1985"/>
        <w:gridCol w:w="141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951" w:type="dxa"/>
            <w:tcBorders>
              <w:top w:val="single" w:color="auto" w:sz="12" w:space="0"/>
              <w:bottom w:val="single" w:color="auto" w:sz="4" w:space="0"/>
            </w:tcBorders>
            <w:shd w:val="clear" w:color="auto" w:fill="E6E6E6"/>
            <w:vAlign w:val="center"/>
          </w:tcPr>
          <w:p>
            <w:pPr>
              <w:jc w:val="center"/>
              <w:rPr>
                <w:lang w:val="en-US"/>
              </w:rPr>
            </w:pPr>
            <w:r>
              <w:rPr>
                <w:rFonts w:hint="eastAsia"/>
                <w:lang w:val="en-US"/>
              </w:rPr>
              <w:t>评价项目</w:t>
            </w:r>
          </w:p>
        </w:tc>
        <w:tc>
          <w:tcPr>
            <w:tcW w:w="1985" w:type="dxa"/>
            <w:tcBorders>
              <w:top w:val="single" w:color="auto" w:sz="12" w:space="0"/>
              <w:bottom w:val="single" w:color="auto" w:sz="4" w:space="0"/>
            </w:tcBorders>
            <w:shd w:val="clear" w:color="auto" w:fill="E6E6E6"/>
          </w:tcPr>
          <w:p>
            <w:pPr>
              <w:jc w:val="center"/>
              <w:rPr>
                <w:lang w:val="en-US"/>
              </w:rPr>
            </w:pPr>
            <w:r>
              <w:rPr>
                <w:rFonts w:hint="eastAsia"/>
                <w:lang w:val="en-US"/>
              </w:rPr>
              <w:t>标准要求</w:t>
            </w:r>
          </w:p>
        </w:tc>
        <w:tc>
          <w:tcPr>
            <w:tcW w:w="1985" w:type="dxa"/>
            <w:tcBorders>
              <w:top w:val="single" w:color="auto" w:sz="12" w:space="0"/>
              <w:bottom w:val="single" w:color="auto" w:sz="4" w:space="0"/>
            </w:tcBorders>
            <w:shd w:val="clear" w:color="auto" w:fill="E6E6E6"/>
            <w:vAlign w:val="center"/>
          </w:tcPr>
          <w:p>
            <w:pPr>
              <w:jc w:val="center"/>
              <w:rPr>
                <w:lang w:val="en-US"/>
              </w:rPr>
            </w:pPr>
            <w:r>
              <w:rPr>
                <w:rFonts w:hint="eastAsia"/>
                <w:lang w:val="en-US"/>
              </w:rPr>
              <w:t>项目计算结果</w:t>
            </w:r>
          </w:p>
        </w:tc>
        <w:tc>
          <w:tcPr>
            <w:tcW w:w="1985" w:type="dxa"/>
            <w:tcBorders>
              <w:top w:val="single" w:color="auto" w:sz="12" w:space="0"/>
              <w:bottom w:val="single" w:color="auto" w:sz="4" w:space="0"/>
            </w:tcBorders>
            <w:shd w:val="clear" w:color="auto" w:fill="E6E6E6"/>
          </w:tcPr>
          <w:p>
            <w:pPr>
              <w:jc w:val="center"/>
              <w:rPr>
                <w:lang w:val="en-US"/>
              </w:rPr>
            </w:pPr>
            <w:r>
              <w:rPr>
                <w:rFonts w:hint="eastAsia"/>
                <w:lang w:val="en-US"/>
              </w:rPr>
              <w:t>达标判定</w:t>
            </w:r>
          </w:p>
        </w:tc>
        <w:tc>
          <w:tcPr>
            <w:tcW w:w="1416" w:type="dxa"/>
            <w:tcBorders>
              <w:top w:val="single" w:color="auto" w:sz="12" w:space="0"/>
              <w:bottom w:val="single" w:color="auto" w:sz="4" w:space="0"/>
            </w:tcBorders>
            <w:shd w:val="clear" w:color="auto" w:fill="E6E6E6"/>
          </w:tcPr>
          <w:p>
            <w:pPr>
              <w:jc w:val="center"/>
              <w:rPr>
                <w:lang w:val="en-US"/>
              </w:rPr>
            </w:pPr>
            <w:r>
              <w:rPr>
                <w:rFonts w:hint="eastAsia"/>
                <w:lang w:val="en-US"/>
              </w:rPr>
              <w:t>得分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951" w:type="dxa"/>
            <w:tcBorders>
              <w:top w:val="single" w:color="auto" w:sz="4" w:space="0"/>
            </w:tcBorders>
            <w:shd w:val="clear" w:color="auto" w:fill="auto"/>
            <w:vAlign w:val="center"/>
          </w:tcPr>
          <w:p>
            <w:pPr>
              <w:jc w:val="center"/>
              <w:rPr>
                <w:lang w:val="en-US"/>
              </w:rPr>
            </w:pPr>
            <w:r>
              <w:rPr>
                <w:rFonts w:hint="eastAsia"/>
                <w:lang w:val="en-US"/>
              </w:rPr>
              <w:t>风速</w:t>
            </w:r>
          </w:p>
        </w:tc>
        <w:tc>
          <w:tcPr>
            <w:tcW w:w="1985" w:type="dxa"/>
            <w:vMerge w:val="restart"/>
            <w:tcBorders>
              <w:top w:val="single" w:color="auto" w:sz="4" w:space="0"/>
            </w:tcBorders>
            <w:shd w:val="clear" w:color="auto" w:fill="auto"/>
          </w:tcPr>
          <w:p>
            <w:pPr>
              <w:rPr>
                <w:lang w:val="en-US"/>
              </w:rPr>
            </w:pPr>
            <w:r>
              <w:rPr>
                <w:rFonts w:hint="eastAsia"/>
                <w:lang w:val="en-US"/>
              </w:rPr>
              <w:t>冬季典型风速和风向条件下，建筑物周围人行区</w:t>
            </w:r>
            <w:r>
              <w:rPr>
                <w:rFonts w:hint="eastAsia"/>
                <w:b/>
                <w:lang w:val="en-US"/>
              </w:rPr>
              <w:t>风速低于</w:t>
            </w:r>
            <w:r>
              <w:rPr>
                <w:b/>
                <w:lang w:val="en-US"/>
              </w:rPr>
              <w:t>5m/s</w:t>
            </w:r>
            <w:r>
              <w:rPr>
                <w:rFonts w:hint="eastAsia"/>
                <w:lang w:val="en-US"/>
              </w:rPr>
              <w:t>，</w:t>
            </w:r>
            <w:r>
              <w:rPr>
                <w:rFonts w:hint="eastAsia"/>
                <w:b/>
                <w:lang w:val="en-US"/>
              </w:rPr>
              <w:t>且</w:t>
            </w:r>
            <w:r>
              <w:rPr>
                <w:rFonts w:hint="eastAsia"/>
                <w:lang w:val="en-US"/>
              </w:rPr>
              <w:t>室外</w:t>
            </w:r>
            <w:r>
              <w:rPr>
                <w:rFonts w:hint="eastAsia"/>
                <w:b/>
                <w:lang w:val="en-US"/>
              </w:rPr>
              <w:t>风速放大系数小于</w:t>
            </w:r>
            <w:r>
              <w:rPr>
                <w:b/>
                <w:lang w:val="en-US"/>
              </w:rPr>
              <w:t>2</w:t>
            </w:r>
            <w:r>
              <w:rPr>
                <w:rFonts w:hint="eastAsia"/>
                <w:lang w:val="en-US"/>
              </w:rPr>
              <w:t>，得2分</w:t>
            </w:r>
          </w:p>
        </w:tc>
        <w:tc>
          <w:tcPr>
            <w:tcW w:w="1985" w:type="dxa"/>
            <w:tcBorders>
              <w:top w:val="single" w:color="auto" w:sz="4" w:space="0"/>
            </w:tcBorders>
            <w:shd w:val="clear" w:color="auto" w:fill="auto"/>
            <w:vAlign w:val="center"/>
          </w:tcPr>
          <w:p>
            <w:pPr>
              <w:jc w:val="center"/>
              <w:rPr>
                <w:lang w:val="en-US"/>
              </w:rPr>
            </w:pPr>
            <w:r>
              <w:rPr>
                <w:rFonts w:hint="eastAsia"/>
                <w:lang w:val="en-US"/>
              </w:rPr>
              <w:t>人行区</w:t>
            </w:r>
            <w:bookmarkStart w:id="124" w:name="冬季风速结果"/>
            <w:r>
              <w:t>出现</w:t>
            </w:r>
            <w:bookmarkEnd w:id="124"/>
            <w:r>
              <w:rPr>
                <w:rFonts w:hint="eastAsia"/>
                <w:lang w:val="en-US"/>
              </w:rPr>
              <w:t>风速大于</w:t>
            </w:r>
            <w:r>
              <w:rPr>
                <w:lang w:val="en-US"/>
              </w:rPr>
              <w:t>5m/s</w:t>
            </w:r>
            <w:r>
              <w:rPr>
                <w:rFonts w:hint="eastAsia"/>
                <w:lang w:val="en-US"/>
              </w:rPr>
              <w:t>的区域</w:t>
            </w:r>
          </w:p>
        </w:tc>
        <w:tc>
          <w:tcPr>
            <w:tcW w:w="1985" w:type="dxa"/>
            <w:vMerge w:val="restart"/>
            <w:tcBorders>
              <w:top w:val="single" w:color="auto" w:sz="4" w:space="0"/>
            </w:tcBorders>
            <w:shd w:val="clear" w:color="auto" w:fill="auto"/>
            <w:vAlign w:val="center"/>
          </w:tcPr>
          <w:p>
            <w:pPr>
              <w:jc w:val="center"/>
              <w:rPr>
                <w:b/>
                <w:lang w:val="en-US"/>
              </w:rPr>
            </w:pPr>
            <w:r>
              <w:rPr>
                <w:rFonts w:hint="eastAsia"/>
                <w:b/>
                <w:lang w:val="en-US"/>
              </w:rPr>
              <w:t>达标</w:t>
            </w:r>
          </w:p>
        </w:tc>
        <w:tc>
          <w:tcPr>
            <w:tcW w:w="1416" w:type="dxa"/>
            <w:vMerge w:val="restart"/>
            <w:tcBorders>
              <w:top w:val="single" w:color="auto" w:sz="4" w:space="0"/>
            </w:tcBorders>
            <w:shd w:val="clear" w:color="auto" w:fill="auto"/>
            <w:vAlign w:val="center"/>
          </w:tcPr>
          <w:p>
            <w:pPr>
              <w:jc w:val="center"/>
              <w:rPr>
                <w:lang w:val="en-US"/>
              </w:rPr>
            </w:pPr>
            <w:r>
              <w:rPr>
                <w:rFonts w:hint="eastAsia"/>
                <w:lang w:val="en-US" w:eastAsia="zh-CN"/>
              </w:rPr>
              <w:t>2</w:t>
            </w:r>
            <w:r>
              <w:rPr>
                <w:rFonts w:hint="eastAsia"/>
                <w:lang w:val="en-US"/>
              </w:rPr>
              <w:t>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951" w:type="dxa"/>
            <w:shd w:val="clear" w:color="auto" w:fill="auto"/>
            <w:vAlign w:val="center"/>
          </w:tcPr>
          <w:p>
            <w:pPr>
              <w:jc w:val="center"/>
              <w:rPr>
                <w:lang w:val="en-US"/>
              </w:rPr>
            </w:pPr>
            <w:r>
              <w:rPr>
                <w:rFonts w:hint="eastAsia"/>
                <w:lang w:val="en-US"/>
              </w:rPr>
              <w:t>风速放大系数</w:t>
            </w:r>
          </w:p>
        </w:tc>
        <w:tc>
          <w:tcPr>
            <w:tcW w:w="1985" w:type="dxa"/>
            <w:vMerge w:val="continue"/>
            <w:shd w:val="clear" w:color="auto" w:fill="auto"/>
          </w:tcPr>
          <w:p>
            <w:pPr>
              <w:jc w:val="center"/>
              <w:rPr>
                <w:lang w:val="en-US"/>
              </w:rPr>
            </w:pPr>
          </w:p>
        </w:tc>
        <w:tc>
          <w:tcPr>
            <w:tcW w:w="1985" w:type="dxa"/>
            <w:shd w:val="clear" w:color="auto" w:fill="auto"/>
            <w:vAlign w:val="center"/>
          </w:tcPr>
          <w:p>
            <w:pPr>
              <w:jc w:val="center"/>
              <w:rPr>
                <w:lang w:val="en-US"/>
              </w:rPr>
            </w:pPr>
            <w:r>
              <w:rPr>
                <w:rFonts w:hint="eastAsia"/>
                <w:lang w:val="en-US"/>
              </w:rPr>
              <w:t>人行区</w:t>
            </w:r>
            <w:bookmarkStart w:id="125" w:name="冬季风速放大系数结果"/>
            <w:r>
              <w:t>出现</w:t>
            </w:r>
            <w:bookmarkEnd w:id="125"/>
            <w:r>
              <w:rPr>
                <w:rFonts w:hint="eastAsia"/>
                <w:lang w:val="en-US"/>
              </w:rPr>
              <w:t>风速放大系数大于等于2的区域</w:t>
            </w:r>
          </w:p>
        </w:tc>
        <w:tc>
          <w:tcPr>
            <w:tcW w:w="1985" w:type="dxa"/>
            <w:vMerge w:val="continue"/>
            <w:shd w:val="clear" w:color="auto" w:fill="auto"/>
          </w:tcPr>
          <w:p>
            <w:pPr>
              <w:jc w:val="center"/>
              <w:rPr>
                <w:lang w:val="en-US"/>
              </w:rPr>
            </w:pPr>
          </w:p>
        </w:tc>
        <w:tc>
          <w:tcPr>
            <w:tcW w:w="1416" w:type="dxa"/>
            <w:vMerge w:val="continue"/>
            <w:shd w:val="clear" w:color="auto" w:fill="auto"/>
          </w:tcPr>
          <w:p>
            <w:pPr>
              <w:jc w:val="center"/>
              <w:rPr>
                <w:lang w:val="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951" w:type="dxa"/>
            <w:shd w:val="clear" w:color="auto" w:fill="auto"/>
            <w:vAlign w:val="center"/>
          </w:tcPr>
          <w:p>
            <w:pPr>
              <w:jc w:val="center"/>
              <w:rPr>
                <w:lang w:val="en-US"/>
              </w:rPr>
            </w:pPr>
            <w:r>
              <w:rPr>
                <w:rFonts w:hint="eastAsia"/>
                <w:lang w:val="en-US"/>
              </w:rPr>
              <w:t>建筑迎风面/背风面风压值</w:t>
            </w:r>
          </w:p>
        </w:tc>
        <w:tc>
          <w:tcPr>
            <w:tcW w:w="1985" w:type="dxa"/>
            <w:shd w:val="clear" w:color="auto" w:fill="auto"/>
          </w:tcPr>
          <w:p>
            <w:pPr>
              <w:jc w:val="center"/>
              <w:rPr>
                <w:lang w:val="en-US"/>
              </w:rPr>
            </w:pPr>
            <w:r>
              <w:rPr>
                <w:rFonts w:hint="eastAsia"/>
                <w:lang w:val="en-US"/>
              </w:rPr>
              <w:t>除迎风第一排建筑外，建筑迎风面与背风面表面风压差不超过5Pa，得1分</w:t>
            </w:r>
          </w:p>
        </w:tc>
        <w:tc>
          <w:tcPr>
            <w:tcW w:w="1985" w:type="dxa"/>
            <w:shd w:val="clear" w:color="auto" w:fill="auto"/>
            <w:vAlign w:val="center"/>
          </w:tcPr>
          <w:p>
            <w:pPr>
              <w:jc w:val="center"/>
              <w:rPr>
                <w:lang w:val="en-US"/>
              </w:rPr>
            </w:pPr>
            <w:r>
              <w:rPr>
                <w:rFonts w:hint="eastAsia"/>
                <w:lang w:val="en-US"/>
              </w:rPr>
              <w:t>本项目</w:t>
            </w:r>
            <w:bookmarkStart w:id="126" w:name="冬季迎背风面结果"/>
            <w:r>
              <w:t>出现</w:t>
            </w:r>
            <w:bookmarkEnd w:id="126"/>
            <w:r>
              <w:rPr>
                <w:rFonts w:hint="eastAsia"/>
                <w:lang w:val="en-US"/>
              </w:rPr>
              <w:t>建筑迎风面与背风面表面风压差大于5Pa的建筑</w:t>
            </w:r>
          </w:p>
        </w:tc>
        <w:tc>
          <w:tcPr>
            <w:tcW w:w="1985" w:type="dxa"/>
            <w:shd w:val="clear" w:color="auto" w:fill="auto"/>
            <w:vAlign w:val="center"/>
          </w:tcPr>
          <w:p>
            <w:pPr>
              <w:jc w:val="center"/>
              <w:rPr>
                <w:lang w:val="en-US"/>
              </w:rPr>
            </w:pPr>
            <w:r>
              <w:rPr>
                <w:rFonts w:hint="eastAsia"/>
                <w:b/>
                <w:lang w:val="en-US"/>
              </w:rPr>
              <w:t>达标</w:t>
            </w:r>
          </w:p>
        </w:tc>
        <w:tc>
          <w:tcPr>
            <w:tcW w:w="1416" w:type="dxa"/>
            <w:shd w:val="clear" w:color="auto" w:fill="auto"/>
            <w:vAlign w:val="center"/>
          </w:tcPr>
          <w:p>
            <w:pPr>
              <w:jc w:val="center"/>
              <w:rPr>
                <w:lang w:val="en-US"/>
              </w:rPr>
            </w:pPr>
            <w:r>
              <w:rPr>
                <w:rFonts w:hint="eastAsia"/>
                <w:lang w:val="en-US" w:eastAsia="zh-CN"/>
              </w:rPr>
              <w:t>1</w:t>
            </w:r>
            <w:r>
              <w:rPr>
                <w:rFonts w:hint="eastAsia"/>
                <w:lang w:val="en-US"/>
              </w:rPr>
              <w:t>分</w:t>
            </w:r>
          </w:p>
        </w:tc>
      </w:tr>
    </w:tbl>
    <w:p>
      <w:pPr>
        <w:rPr>
          <w:szCs w:val="21"/>
          <w:lang w:val="en-US"/>
        </w:rPr>
      </w:pPr>
    </w:p>
    <w:p>
      <w:pPr>
        <w:pStyle w:val="5"/>
      </w:pPr>
      <w:bookmarkStart w:id="127" w:name="_Toc509844767"/>
      <w:bookmarkEnd w:id="127"/>
      <w:bookmarkStart w:id="128" w:name="_Toc509844768"/>
      <w:bookmarkEnd w:id="128"/>
      <w:bookmarkStart w:id="129" w:name="_Toc509844769"/>
      <w:bookmarkStart w:id="130" w:name="_Toc26043"/>
      <w:r>
        <w:rPr>
          <w:rFonts w:hint="eastAsia"/>
        </w:rPr>
        <w:t>过渡季、夏季工况达标判断</w:t>
      </w:r>
      <w:bookmarkEnd w:id="129"/>
      <w:bookmarkEnd w:id="130"/>
    </w:p>
    <w:p>
      <w:pPr>
        <w:pStyle w:val="3"/>
        <w:ind w:firstLine="0" w:firstLineChars="0"/>
        <w:jc w:val="center"/>
        <w:rPr>
          <w:rFonts w:ascii="黑体" w:hAnsi="黑体" w:eastAsia="黑体"/>
          <w:sz w:val="20"/>
          <w:szCs w:val="20"/>
        </w:rPr>
      </w:pPr>
      <w:r>
        <w:rPr>
          <w:rFonts w:hint="eastAsia" w:ascii="黑体" w:hAnsi="黑体" w:eastAsia="黑体"/>
          <w:sz w:val="20"/>
          <w:szCs w:val="20"/>
        </w:rPr>
        <w:t xml:space="preserve">表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5.</w:t>
      </w:r>
      <w:r>
        <w:rPr>
          <w:rFonts w:hint="eastAsia" w:ascii="黑体" w:hAnsi="黑体" w:eastAsia="黑体"/>
          <w:sz w:val="20"/>
          <w:szCs w:val="20"/>
          <w:lang w:val="en-US" w:eastAsia="zh-CN"/>
        </w:rPr>
        <w:t>6</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表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2</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过渡季、夏季工况达标判断表</w:t>
      </w:r>
    </w:p>
    <w:tbl>
      <w:tblPr>
        <w:tblStyle w:val="21"/>
        <w:tblW w:w="932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985"/>
        <w:gridCol w:w="1985"/>
        <w:gridCol w:w="1985"/>
        <w:gridCol w:w="141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951" w:type="dxa"/>
            <w:tcBorders>
              <w:top w:val="single" w:color="auto" w:sz="12" w:space="0"/>
              <w:bottom w:val="single" w:color="auto" w:sz="4" w:space="0"/>
            </w:tcBorders>
            <w:shd w:val="clear" w:color="auto" w:fill="E6E6E6"/>
            <w:vAlign w:val="center"/>
          </w:tcPr>
          <w:p>
            <w:pPr>
              <w:jc w:val="center"/>
              <w:rPr>
                <w:lang w:val="en-US"/>
              </w:rPr>
            </w:pPr>
            <w:r>
              <w:rPr>
                <w:rFonts w:hint="eastAsia"/>
                <w:lang w:val="en-US"/>
              </w:rPr>
              <w:t>评价项目</w:t>
            </w:r>
          </w:p>
        </w:tc>
        <w:tc>
          <w:tcPr>
            <w:tcW w:w="1985" w:type="dxa"/>
            <w:tcBorders>
              <w:top w:val="single" w:color="auto" w:sz="12" w:space="0"/>
              <w:bottom w:val="single" w:color="auto" w:sz="4" w:space="0"/>
            </w:tcBorders>
            <w:shd w:val="clear" w:color="auto" w:fill="E6E6E6"/>
          </w:tcPr>
          <w:p>
            <w:pPr>
              <w:jc w:val="center"/>
              <w:rPr>
                <w:lang w:val="en-US"/>
              </w:rPr>
            </w:pPr>
            <w:r>
              <w:rPr>
                <w:rFonts w:hint="eastAsia"/>
                <w:lang w:val="en-US"/>
              </w:rPr>
              <w:t>标准要求</w:t>
            </w:r>
          </w:p>
        </w:tc>
        <w:tc>
          <w:tcPr>
            <w:tcW w:w="1985" w:type="dxa"/>
            <w:tcBorders>
              <w:top w:val="single" w:color="auto" w:sz="12" w:space="0"/>
              <w:bottom w:val="single" w:color="auto" w:sz="4" w:space="0"/>
            </w:tcBorders>
            <w:shd w:val="clear" w:color="auto" w:fill="E6E6E6"/>
            <w:vAlign w:val="center"/>
          </w:tcPr>
          <w:p>
            <w:pPr>
              <w:jc w:val="center"/>
              <w:rPr>
                <w:lang w:val="en-US"/>
              </w:rPr>
            </w:pPr>
            <w:r>
              <w:rPr>
                <w:rFonts w:hint="eastAsia"/>
                <w:lang w:val="en-US"/>
              </w:rPr>
              <w:t>项目计算结果</w:t>
            </w:r>
          </w:p>
        </w:tc>
        <w:tc>
          <w:tcPr>
            <w:tcW w:w="1985" w:type="dxa"/>
            <w:tcBorders>
              <w:top w:val="single" w:color="auto" w:sz="12" w:space="0"/>
              <w:bottom w:val="single" w:color="auto" w:sz="4" w:space="0"/>
            </w:tcBorders>
            <w:shd w:val="clear" w:color="auto" w:fill="E6E6E6"/>
          </w:tcPr>
          <w:p>
            <w:pPr>
              <w:jc w:val="center"/>
              <w:rPr>
                <w:lang w:val="en-US"/>
              </w:rPr>
            </w:pPr>
            <w:r>
              <w:rPr>
                <w:rFonts w:hint="eastAsia"/>
                <w:lang w:val="en-US"/>
              </w:rPr>
              <w:t>达标判定</w:t>
            </w:r>
          </w:p>
        </w:tc>
        <w:tc>
          <w:tcPr>
            <w:tcW w:w="1416" w:type="dxa"/>
            <w:tcBorders>
              <w:top w:val="single" w:color="auto" w:sz="12" w:space="0"/>
              <w:bottom w:val="single" w:color="auto" w:sz="4" w:space="0"/>
            </w:tcBorders>
            <w:shd w:val="clear" w:color="auto" w:fill="E6E6E6"/>
          </w:tcPr>
          <w:p>
            <w:pPr>
              <w:jc w:val="center"/>
              <w:rPr>
                <w:lang w:val="en-US"/>
              </w:rPr>
            </w:pPr>
            <w:r>
              <w:rPr>
                <w:rFonts w:hint="eastAsia"/>
                <w:lang w:val="en-US"/>
              </w:rPr>
              <w:t>得分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951" w:type="dxa"/>
            <w:tcBorders>
              <w:top w:val="single" w:color="auto" w:sz="4" w:space="0"/>
            </w:tcBorders>
            <w:shd w:val="clear" w:color="auto" w:fill="auto"/>
            <w:vAlign w:val="center"/>
          </w:tcPr>
          <w:p>
            <w:pPr>
              <w:jc w:val="center"/>
              <w:rPr>
                <w:lang w:val="en-US"/>
              </w:rPr>
            </w:pPr>
            <w:r>
              <w:rPr>
                <w:rFonts w:hint="eastAsia"/>
                <w:lang w:val="en-US"/>
              </w:rPr>
              <w:t>无风区</w:t>
            </w:r>
          </w:p>
        </w:tc>
        <w:tc>
          <w:tcPr>
            <w:tcW w:w="1985" w:type="dxa"/>
            <w:vMerge w:val="restart"/>
            <w:tcBorders>
              <w:top w:val="single" w:color="auto" w:sz="4" w:space="0"/>
            </w:tcBorders>
            <w:shd w:val="clear" w:color="auto" w:fill="auto"/>
          </w:tcPr>
          <w:p>
            <w:pPr>
              <w:rPr>
                <w:lang w:val="en-US"/>
              </w:rPr>
            </w:pPr>
            <w:r>
              <w:rPr>
                <w:rFonts w:hint="eastAsia"/>
                <w:lang w:val="en-US"/>
              </w:rPr>
              <w:t>场地内人活动区</w:t>
            </w:r>
            <w:r>
              <w:rPr>
                <w:rFonts w:hint="eastAsia"/>
                <w:b/>
                <w:lang w:val="en-US"/>
              </w:rPr>
              <w:t>不出现涡旋或无风区</w:t>
            </w:r>
            <w:r>
              <w:rPr>
                <w:rFonts w:hint="eastAsia"/>
                <w:lang w:val="en-US"/>
              </w:rPr>
              <w:t>，得2分</w:t>
            </w:r>
            <w:r>
              <w:rPr>
                <w:lang w:val="en-US"/>
              </w:rPr>
              <w:t xml:space="preserve"> </w:t>
            </w:r>
          </w:p>
        </w:tc>
        <w:tc>
          <w:tcPr>
            <w:tcW w:w="1985" w:type="dxa"/>
            <w:tcBorders>
              <w:top w:val="single" w:color="auto" w:sz="4" w:space="0"/>
            </w:tcBorders>
            <w:shd w:val="clear" w:color="auto" w:fill="auto"/>
            <w:vAlign w:val="center"/>
          </w:tcPr>
          <w:p>
            <w:pPr>
              <w:jc w:val="center"/>
              <w:rPr>
                <w:lang w:val="en-US"/>
              </w:rPr>
            </w:pPr>
            <w:r>
              <w:rPr>
                <w:rFonts w:hint="eastAsia"/>
                <w:lang w:val="en-US"/>
              </w:rPr>
              <w:t>人行区</w:t>
            </w:r>
            <w:bookmarkStart w:id="131" w:name="夏季无风区结果"/>
            <w:r>
              <w:rPr>
                <w:rFonts w:hint="eastAsia"/>
                <w:lang w:val="en-US"/>
              </w:rPr>
              <w:t>有</w:t>
            </w:r>
            <w:bookmarkEnd w:id="131"/>
            <w:r>
              <w:rPr>
                <w:rFonts w:hint="eastAsia"/>
                <w:lang w:val="en-US"/>
              </w:rPr>
              <w:t>无风区</w:t>
            </w:r>
          </w:p>
        </w:tc>
        <w:tc>
          <w:tcPr>
            <w:tcW w:w="1985" w:type="dxa"/>
            <w:vMerge w:val="restart"/>
            <w:tcBorders>
              <w:top w:val="single" w:color="auto" w:sz="4" w:space="0"/>
            </w:tcBorders>
            <w:shd w:val="clear" w:color="auto" w:fill="auto"/>
            <w:vAlign w:val="center"/>
          </w:tcPr>
          <w:p>
            <w:pPr>
              <w:jc w:val="center"/>
              <w:rPr>
                <w:lang w:val="en-US"/>
              </w:rPr>
            </w:pPr>
            <w:r>
              <w:rPr>
                <w:rFonts w:hint="eastAsia"/>
                <w:b/>
                <w:lang w:val="en-US"/>
              </w:rPr>
              <w:t>达标</w:t>
            </w:r>
          </w:p>
        </w:tc>
        <w:tc>
          <w:tcPr>
            <w:tcW w:w="1416" w:type="dxa"/>
            <w:vMerge w:val="restart"/>
            <w:tcBorders>
              <w:top w:val="single" w:color="auto" w:sz="4" w:space="0"/>
            </w:tcBorders>
            <w:shd w:val="clear" w:color="auto" w:fill="auto"/>
            <w:vAlign w:val="center"/>
          </w:tcPr>
          <w:p>
            <w:pPr>
              <w:jc w:val="center"/>
              <w:rPr>
                <w:lang w:val="en-US"/>
              </w:rPr>
            </w:pPr>
            <w:r>
              <w:rPr>
                <w:rFonts w:hint="eastAsia"/>
                <w:lang w:val="en-US" w:eastAsia="zh-CN"/>
              </w:rPr>
              <w:t>2</w:t>
            </w:r>
            <w:r>
              <w:rPr>
                <w:rFonts w:hint="eastAsia"/>
                <w:lang w:val="en-US"/>
              </w:rPr>
              <w:t>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951" w:type="dxa"/>
            <w:shd w:val="clear" w:color="auto" w:fill="auto"/>
            <w:vAlign w:val="center"/>
          </w:tcPr>
          <w:p>
            <w:pPr>
              <w:jc w:val="center"/>
              <w:rPr>
                <w:lang w:val="en-US"/>
              </w:rPr>
            </w:pPr>
            <w:r>
              <w:rPr>
                <w:rFonts w:hint="eastAsia"/>
                <w:lang w:val="en-US"/>
              </w:rPr>
              <w:t>旋涡区</w:t>
            </w:r>
          </w:p>
        </w:tc>
        <w:tc>
          <w:tcPr>
            <w:tcW w:w="1985" w:type="dxa"/>
            <w:vMerge w:val="continue"/>
            <w:shd w:val="clear" w:color="auto" w:fill="auto"/>
          </w:tcPr>
          <w:p>
            <w:pPr>
              <w:jc w:val="center"/>
              <w:rPr>
                <w:lang w:val="en-US"/>
              </w:rPr>
            </w:pPr>
          </w:p>
        </w:tc>
        <w:tc>
          <w:tcPr>
            <w:tcW w:w="1985" w:type="dxa"/>
            <w:shd w:val="clear" w:color="auto" w:fill="auto"/>
            <w:vAlign w:val="center"/>
          </w:tcPr>
          <w:p>
            <w:pPr>
              <w:jc w:val="center"/>
              <w:rPr>
                <w:lang w:val="en-US"/>
              </w:rPr>
            </w:pPr>
            <w:r>
              <w:rPr>
                <w:rFonts w:hint="eastAsia"/>
                <w:lang w:val="en-US"/>
              </w:rPr>
              <w:t>人行区无旋涡区</w:t>
            </w:r>
          </w:p>
        </w:tc>
        <w:tc>
          <w:tcPr>
            <w:tcW w:w="1985" w:type="dxa"/>
            <w:vMerge w:val="continue"/>
            <w:shd w:val="clear" w:color="auto" w:fill="auto"/>
          </w:tcPr>
          <w:p>
            <w:pPr>
              <w:jc w:val="center"/>
              <w:rPr>
                <w:lang w:val="en-US"/>
              </w:rPr>
            </w:pPr>
          </w:p>
        </w:tc>
        <w:tc>
          <w:tcPr>
            <w:tcW w:w="1416" w:type="dxa"/>
            <w:vMerge w:val="continue"/>
            <w:shd w:val="clear" w:color="auto" w:fill="auto"/>
          </w:tcPr>
          <w:p>
            <w:pPr>
              <w:jc w:val="center"/>
              <w:rPr>
                <w:lang w:val="en-US"/>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951" w:type="dxa"/>
            <w:shd w:val="clear" w:color="auto" w:fill="auto"/>
            <w:vAlign w:val="center"/>
          </w:tcPr>
          <w:p>
            <w:pPr>
              <w:jc w:val="center"/>
              <w:rPr>
                <w:lang w:val="en-US"/>
              </w:rPr>
            </w:pPr>
            <w:r>
              <w:rPr>
                <w:rFonts w:hint="eastAsia"/>
                <w:lang w:val="en-US"/>
              </w:rPr>
              <w:t>外窗室内外表面的风压差</w:t>
            </w:r>
          </w:p>
        </w:tc>
        <w:tc>
          <w:tcPr>
            <w:tcW w:w="1985" w:type="dxa"/>
            <w:shd w:val="clear" w:color="auto" w:fill="auto"/>
          </w:tcPr>
          <w:p>
            <w:pPr>
              <w:jc w:val="center"/>
              <w:rPr>
                <w:lang w:val="en-US"/>
              </w:rPr>
            </w:pPr>
            <w:r>
              <w:rPr>
                <w:b/>
                <w:lang w:val="en-US"/>
              </w:rPr>
              <w:t>50%</w:t>
            </w:r>
            <w:r>
              <w:rPr>
                <w:rFonts w:hint="eastAsia"/>
                <w:b/>
                <w:lang w:val="en-US"/>
              </w:rPr>
              <w:t>以上</w:t>
            </w:r>
            <w:r>
              <w:rPr>
                <w:rFonts w:hint="eastAsia"/>
                <w:lang w:val="en-US"/>
              </w:rPr>
              <w:t>可开启外窗室内外表面的风压差</w:t>
            </w:r>
            <w:r>
              <w:rPr>
                <w:rFonts w:hint="eastAsia"/>
                <w:b/>
                <w:lang w:val="en-US"/>
              </w:rPr>
              <w:t>大于</w:t>
            </w:r>
            <w:r>
              <w:rPr>
                <w:b/>
                <w:lang w:val="en-US"/>
              </w:rPr>
              <w:t>0.5Pa</w:t>
            </w:r>
            <w:r>
              <w:rPr>
                <w:rFonts w:hint="eastAsia"/>
                <w:lang w:val="en-US"/>
              </w:rPr>
              <w:t>，得1分。</w:t>
            </w:r>
          </w:p>
        </w:tc>
        <w:tc>
          <w:tcPr>
            <w:tcW w:w="1985" w:type="dxa"/>
            <w:shd w:val="clear" w:color="auto" w:fill="auto"/>
            <w:vAlign w:val="center"/>
          </w:tcPr>
          <w:p>
            <w:pPr>
              <w:jc w:val="center"/>
              <w:rPr>
                <w:lang w:val="en-US"/>
              </w:rPr>
            </w:pPr>
            <w:r>
              <w:rPr>
                <w:rFonts w:hint="eastAsia"/>
                <w:lang w:val="en-US"/>
              </w:rPr>
              <w:t>所有建筑</w:t>
            </w:r>
            <w:r>
              <w:rPr>
                <w:rFonts w:hint="eastAsia"/>
                <w:b/>
                <w:lang w:val="en-US"/>
              </w:rPr>
              <w:t>可开启外窗室内外表面的风压差</w:t>
            </w:r>
            <w:r>
              <w:rPr>
                <w:rFonts w:hint="eastAsia"/>
                <w:lang w:val="en-US"/>
              </w:rPr>
              <w:t>均</w:t>
            </w:r>
            <w:bookmarkStart w:id="132" w:name="夏季窗内外风压差结果"/>
            <w:r>
              <w:rPr>
                <w:rFonts w:hint="eastAsia"/>
                <w:lang w:val="en-US"/>
              </w:rPr>
              <w:t>满足</w:t>
            </w:r>
            <w:bookmarkEnd w:id="132"/>
            <w:r>
              <w:rPr>
                <w:rFonts w:hint="eastAsia"/>
                <w:lang w:val="en-US"/>
              </w:rPr>
              <w:t>标准要求</w:t>
            </w:r>
          </w:p>
        </w:tc>
        <w:tc>
          <w:tcPr>
            <w:tcW w:w="1985" w:type="dxa"/>
            <w:shd w:val="clear" w:color="auto" w:fill="auto"/>
            <w:vAlign w:val="center"/>
          </w:tcPr>
          <w:p>
            <w:pPr>
              <w:jc w:val="center"/>
              <w:rPr>
                <w:b/>
                <w:lang w:val="en-US"/>
              </w:rPr>
            </w:pPr>
            <w:bookmarkStart w:id="133" w:name="夏季窗内外风压差达标判定"/>
            <w:r>
              <w:rPr>
                <w:rFonts w:hint="eastAsia"/>
                <w:b/>
                <w:lang w:val="en-US"/>
              </w:rPr>
              <w:t>达标</w:t>
            </w:r>
            <w:bookmarkEnd w:id="133"/>
          </w:p>
        </w:tc>
        <w:tc>
          <w:tcPr>
            <w:tcW w:w="1416" w:type="dxa"/>
            <w:shd w:val="clear" w:color="auto" w:fill="auto"/>
            <w:vAlign w:val="center"/>
          </w:tcPr>
          <w:p>
            <w:pPr>
              <w:jc w:val="center"/>
              <w:rPr>
                <w:lang w:val="en-US"/>
              </w:rPr>
            </w:pPr>
            <w:bookmarkStart w:id="134" w:name="夏季窗内外风压差得分"/>
            <w:r>
              <w:rPr>
                <w:rFonts w:hint="eastAsia"/>
                <w:lang w:val="en-US"/>
              </w:rPr>
              <w:t>1</w:t>
            </w:r>
            <w:bookmarkEnd w:id="134"/>
            <w:r>
              <w:rPr>
                <w:rFonts w:hint="eastAsia"/>
                <w:lang w:val="en-US"/>
              </w:rPr>
              <w:t>分</w:t>
            </w:r>
          </w:p>
        </w:tc>
      </w:tr>
    </w:tbl>
    <w:p>
      <w:pPr>
        <w:rPr>
          <w:szCs w:val="21"/>
          <w:lang w:val="en-US"/>
        </w:rPr>
      </w:pPr>
    </w:p>
    <w:p>
      <w:pPr>
        <w:pStyle w:val="3"/>
        <w:ind w:firstLine="0" w:firstLineChars="0"/>
        <w:rPr>
          <w:lang w:val="en-US"/>
        </w:rPr>
      </w:pPr>
      <w:r>
        <w:rPr>
          <w:rFonts w:hint="eastAsia"/>
          <w:lang w:val="en-US"/>
        </w:rPr>
        <w:t>综合上述达标判断详表的信息，可知本项目得分为</w:t>
      </w:r>
      <w:r>
        <w:rPr>
          <w:rFonts w:hint="eastAsia"/>
          <w:lang w:val="en-US" w:eastAsia="zh-CN"/>
        </w:rPr>
        <w:t>6</w:t>
      </w:r>
      <w:r>
        <w:rPr>
          <w:rFonts w:hint="eastAsia"/>
          <w:lang w:val="en-US"/>
        </w:rPr>
        <w:t>分。</w:t>
      </w:r>
    </w:p>
    <w:sectPr>
      <w:pgSz w:w="11906" w:h="16838"/>
      <w:pgMar w:top="1440" w:right="1133" w:bottom="993" w:left="1701" w:header="794" w:footer="17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swiss"/>
    <w:pitch w:val="default"/>
    <w:sig w:usb0="E0002AFF" w:usb1="C000247B" w:usb2="00000009" w:usb3="00000000" w:csb0="200001F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2"/>
      <w:tblW w:w="906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020"/>
      <w:gridCol w:w="3020"/>
      <w:gridCol w:w="30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3020" w:type="dxa"/>
        </w:tcPr>
        <w:p>
          <w:pPr>
            <w:pStyle w:val="17"/>
            <w:rPr>
              <w:rFonts w:asciiTheme="minorEastAsia" w:hAnsiTheme="minorEastAsia" w:eastAsiaTheme="minorEastAsia"/>
              <w:sz w:val="20"/>
              <w:szCs w:val="21"/>
            </w:rPr>
          </w:pPr>
          <w:r>
            <w:fldChar w:fldCharType="begin"/>
          </w:r>
          <w:r>
            <w:instrText xml:space="preserve"> HYPERLINK "http://www.gbsware.cn/" </w:instrText>
          </w:r>
          <w:r>
            <w:fldChar w:fldCharType="separate"/>
          </w:r>
          <w:r>
            <w:rPr>
              <w:rStyle w:val="26"/>
              <w:rFonts w:asciiTheme="minorEastAsia" w:hAnsiTheme="minorEastAsia" w:eastAsiaTheme="minorEastAsia"/>
              <w:sz w:val="20"/>
              <w:szCs w:val="21"/>
            </w:rPr>
            <w:t>http://www.gbsware.cn/</w:t>
          </w:r>
          <w:r>
            <w:rPr>
              <w:rStyle w:val="26"/>
              <w:rFonts w:asciiTheme="minorEastAsia" w:hAnsiTheme="minorEastAsia" w:eastAsiaTheme="minorEastAsia"/>
              <w:sz w:val="20"/>
              <w:szCs w:val="21"/>
            </w:rPr>
            <w:fldChar w:fldCharType="end"/>
          </w:r>
        </w:p>
      </w:tc>
      <w:tc>
        <w:tcPr>
          <w:tcW w:w="3020" w:type="dxa"/>
        </w:tcPr>
        <w:p>
          <w:pPr>
            <w:pStyle w:val="17"/>
            <w:jc w:val="center"/>
            <w:rPr>
              <w:rFonts w:asciiTheme="minorEastAsia" w:hAnsiTheme="minorEastAsia" w:eastAsiaTheme="minorEastAsia"/>
              <w:sz w:val="20"/>
              <w:szCs w:val="21"/>
            </w:rPr>
          </w:pPr>
          <w:sdt>
            <w:sdtPr>
              <w:rPr>
                <w:sz w:val="20"/>
              </w:rPr>
              <w:id w:val="1728636285"/>
              <w:docPartObj>
                <w:docPartGallery w:val="autotext"/>
              </w:docPartObj>
            </w:sdtPr>
            <w:sdtEndPr>
              <w:rPr>
                <w:rFonts w:asciiTheme="minorEastAsia" w:hAnsiTheme="minorEastAsia" w:eastAsiaTheme="minorEastAsia"/>
                <w:sz w:val="20"/>
                <w:szCs w:val="21"/>
              </w:rPr>
            </w:sdtEndPr>
            <w:sdtContent>
              <w:r>
                <w:rPr>
                  <w:rFonts w:hint="eastAsia"/>
                  <w:sz w:val="20"/>
                </w:rPr>
                <w:t>第</w:t>
              </w:r>
              <w:r>
                <w:rPr>
                  <w:rFonts w:asciiTheme="minorEastAsia" w:hAnsiTheme="minorEastAsia" w:eastAsiaTheme="minorEastAsia"/>
                  <w:bCs/>
                  <w:sz w:val="20"/>
                  <w:szCs w:val="21"/>
                </w:rPr>
                <w:fldChar w:fldCharType="begin"/>
              </w:r>
              <w:r>
                <w:rPr>
                  <w:rFonts w:asciiTheme="minorEastAsia" w:hAnsiTheme="minorEastAsia" w:eastAsiaTheme="minorEastAsia"/>
                  <w:bCs/>
                  <w:sz w:val="20"/>
                  <w:szCs w:val="21"/>
                </w:rPr>
                <w:instrText xml:space="preserve">PAGE</w:instrText>
              </w:r>
              <w:r>
                <w:rPr>
                  <w:rFonts w:asciiTheme="minorEastAsia" w:hAnsiTheme="minorEastAsia" w:eastAsiaTheme="minorEastAsia"/>
                  <w:bCs/>
                  <w:sz w:val="20"/>
                  <w:szCs w:val="21"/>
                </w:rPr>
                <w:fldChar w:fldCharType="separate"/>
              </w:r>
              <w:r>
                <w:rPr>
                  <w:rFonts w:asciiTheme="minorEastAsia" w:hAnsiTheme="minorEastAsia" w:eastAsiaTheme="minorEastAsia"/>
                  <w:bCs/>
                  <w:sz w:val="20"/>
                  <w:szCs w:val="21"/>
                </w:rPr>
                <w:t>2</w:t>
              </w:r>
              <w:r>
                <w:rPr>
                  <w:rFonts w:asciiTheme="minorEastAsia" w:hAnsiTheme="minorEastAsia" w:eastAsiaTheme="minorEastAsia"/>
                  <w:bCs/>
                  <w:sz w:val="20"/>
                  <w:szCs w:val="21"/>
                </w:rPr>
                <w:fldChar w:fldCharType="end"/>
              </w:r>
              <w:r>
                <w:rPr>
                  <w:rFonts w:hint="eastAsia" w:asciiTheme="minorEastAsia" w:hAnsiTheme="minorEastAsia" w:eastAsiaTheme="minorEastAsia"/>
                  <w:sz w:val="20"/>
                  <w:szCs w:val="21"/>
                  <w:lang w:val="zh-CN"/>
                </w:rPr>
                <w:t>页 共</w:t>
              </w:r>
              <w:r>
                <w:rPr>
                  <w:rFonts w:asciiTheme="minorEastAsia" w:hAnsiTheme="minorEastAsia" w:eastAsiaTheme="minorEastAsia"/>
                  <w:bCs/>
                  <w:sz w:val="20"/>
                  <w:szCs w:val="21"/>
                </w:rPr>
                <w:fldChar w:fldCharType="begin"/>
              </w:r>
              <w:r>
                <w:rPr>
                  <w:rFonts w:asciiTheme="minorEastAsia" w:hAnsiTheme="minorEastAsia" w:eastAsiaTheme="minorEastAsia"/>
                  <w:bCs/>
                  <w:sz w:val="20"/>
                  <w:szCs w:val="21"/>
                </w:rPr>
                <w:instrText xml:space="preserve">NUMPAGES</w:instrText>
              </w:r>
              <w:r>
                <w:rPr>
                  <w:rFonts w:asciiTheme="minorEastAsia" w:hAnsiTheme="minorEastAsia" w:eastAsiaTheme="minorEastAsia"/>
                  <w:bCs/>
                  <w:sz w:val="20"/>
                  <w:szCs w:val="21"/>
                </w:rPr>
                <w:fldChar w:fldCharType="separate"/>
              </w:r>
              <w:r>
                <w:rPr>
                  <w:rFonts w:asciiTheme="minorEastAsia" w:hAnsiTheme="minorEastAsia" w:eastAsiaTheme="minorEastAsia"/>
                  <w:bCs/>
                  <w:sz w:val="20"/>
                  <w:szCs w:val="21"/>
                </w:rPr>
                <w:t>28</w:t>
              </w:r>
              <w:r>
                <w:rPr>
                  <w:rFonts w:asciiTheme="minorEastAsia" w:hAnsiTheme="minorEastAsia" w:eastAsiaTheme="minorEastAsia"/>
                  <w:bCs/>
                  <w:sz w:val="20"/>
                  <w:szCs w:val="21"/>
                </w:rPr>
                <w:fldChar w:fldCharType="end"/>
              </w:r>
              <w:r>
                <w:rPr>
                  <w:rFonts w:hint="eastAsia" w:asciiTheme="minorEastAsia" w:hAnsiTheme="minorEastAsia" w:eastAsiaTheme="minorEastAsia"/>
                  <w:bCs/>
                  <w:sz w:val="20"/>
                  <w:szCs w:val="21"/>
                </w:rPr>
                <w:t>页</w:t>
              </w:r>
            </w:sdtContent>
          </w:sdt>
        </w:p>
      </w:tc>
      <w:tc>
        <w:tcPr>
          <w:tcW w:w="3020" w:type="dxa"/>
        </w:tcPr>
        <w:p>
          <w:pPr>
            <w:pStyle w:val="17"/>
            <w:jc w:val="right"/>
            <w:rPr>
              <w:rFonts w:asciiTheme="minorEastAsia" w:hAnsiTheme="minorEastAsia" w:eastAsiaTheme="minorEastAsia"/>
              <w:sz w:val="20"/>
              <w:szCs w:val="21"/>
            </w:rPr>
          </w:pPr>
          <w:r>
            <w:rPr>
              <w:rFonts w:hint="eastAsia" w:asciiTheme="minorEastAsia" w:hAnsiTheme="minorEastAsia" w:eastAsiaTheme="minorEastAsia"/>
              <w:sz w:val="20"/>
              <w:szCs w:val="21"/>
            </w:rPr>
            <w:t>V</w:t>
          </w:r>
          <w:r>
            <w:rPr>
              <w:rFonts w:asciiTheme="minorEastAsia" w:hAnsiTheme="minorEastAsia" w:eastAsiaTheme="minorEastAsia"/>
              <w:sz w:val="20"/>
              <w:szCs w:val="21"/>
            </w:rPr>
            <w:t>ENT2018</w:t>
          </w:r>
        </w:p>
      </w:tc>
    </w:tr>
  </w:tbl>
  <w:p>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jc w:val="center"/>
      <w:rPr>
        <w:rFonts w:asciiTheme="minorEastAsia" w:hAnsiTheme="minorEastAsia" w:eastAsiaTheme="minorEastAsia"/>
        <w:szCs w:val="21"/>
      </w:rPr>
    </w:pPr>
  </w:p>
  <w:p>
    <w:pPr>
      <w:pStyle w:val="1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single" w:color="auto" w:sz="6" w:space="0"/>
      </w:pBdr>
      <w:jc w:val="left"/>
    </w:pPr>
    <w:r>
      <w:rPr>
        <w:lang w:val="en-US"/>
      </w:rPr>
      <w:drawing>
        <wp:inline distT="0" distB="0" distL="0" distR="0">
          <wp:extent cx="866140" cy="2514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rPr>
    </w:lvl>
    <w:lvl w:ilvl="1" w:tentative="0">
      <w:start w:val="1"/>
      <w:numFmt w:val="decimal"/>
      <w:pStyle w:val="4"/>
      <w:lvlText w:val="%1.%2"/>
      <w:lvlJc w:val="left"/>
      <w:pPr>
        <w:tabs>
          <w:tab w:val="left" w:pos="578"/>
        </w:tabs>
        <w:ind w:left="578" w:hanging="578"/>
      </w:pPr>
      <w:rPr>
        <w:rFonts w:hint="eastAsia"/>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2F50ED4"/>
    <w:multiLevelType w:val="multilevel"/>
    <w:tmpl w:val="02F50ED4"/>
    <w:lvl w:ilvl="0" w:tentative="0">
      <w:start w:val="1"/>
      <w:numFmt w:val="decimal"/>
      <w:lvlText w:val="%1."/>
      <w:lvlJc w:val="left"/>
      <w:pPr>
        <w:ind w:left="780" w:hanging="36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17386EA3"/>
    <w:multiLevelType w:val="multilevel"/>
    <w:tmpl w:val="17386EA3"/>
    <w:lvl w:ilvl="0" w:tentative="0">
      <w:start w:val="1"/>
      <w:numFmt w:val="bullet"/>
      <w:lvlText w:val=""/>
      <w:lvlJc w:val="left"/>
      <w:pPr>
        <w:ind w:left="1266" w:hanging="420"/>
      </w:pPr>
      <w:rPr>
        <w:rFonts w:hint="default" w:ascii="Wingdings" w:hAnsi="Wingdings"/>
        <w:sz w:val="15"/>
      </w:rPr>
    </w:lvl>
    <w:lvl w:ilvl="1" w:tentative="0">
      <w:start w:val="1"/>
      <w:numFmt w:val="bullet"/>
      <w:lvlText w:val=""/>
      <w:lvlJc w:val="left"/>
      <w:pPr>
        <w:ind w:left="1686" w:hanging="420"/>
      </w:pPr>
      <w:rPr>
        <w:rFonts w:hint="default" w:ascii="Wingdings" w:hAnsi="Wingdings"/>
      </w:rPr>
    </w:lvl>
    <w:lvl w:ilvl="2" w:tentative="0">
      <w:start w:val="1"/>
      <w:numFmt w:val="bullet"/>
      <w:lvlText w:val=""/>
      <w:lvlJc w:val="left"/>
      <w:pPr>
        <w:ind w:left="2106" w:hanging="420"/>
      </w:pPr>
      <w:rPr>
        <w:rFonts w:hint="default" w:ascii="Wingdings" w:hAnsi="Wingdings"/>
      </w:rPr>
    </w:lvl>
    <w:lvl w:ilvl="3" w:tentative="0">
      <w:start w:val="1"/>
      <w:numFmt w:val="bullet"/>
      <w:lvlText w:val=""/>
      <w:lvlJc w:val="left"/>
      <w:pPr>
        <w:ind w:left="2526" w:hanging="420"/>
      </w:pPr>
      <w:rPr>
        <w:rFonts w:hint="default" w:ascii="Wingdings" w:hAnsi="Wingdings"/>
      </w:rPr>
    </w:lvl>
    <w:lvl w:ilvl="4" w:tentative="0">
      <w:start w:val="1"/>
      <w:numFmt w:val="bullet"/>
      <w:lvlText w:val=""/>
      <w:lvlJc w:val="left"/>
      <w:pPr>
        <w:ind w:left="2946" w:hanging="420"/>
      </w:pPr>
      <w:rPr>
        <w:rFonts w:hint="default" w:ascii="Wingdings" w:hAnsi="Wingdings"/>
      </w:rPr>
    </w:lvl>
    <w:lvl w:ilvl="5" w:tentative="0">
      <w:start w:val="1"/>
      <w:numFmt w:val="bullet"/>
      <w:lvlText w:val=""/>
      <w:lvlJc w:val="left"/>
      <w:pPr>
        <w:ind w:left="3366" w:hanging="420"/>
      </w:pPr>
      <w:rPr>
        <w:rFonts w:hint="default" w:ascii="Wingdings" w:hAnsi="Wingdings"/>
      </w:rPr>
    </w:lvl>
    <w:lvl w:ilvl="6" w:tentative="0">
      <w:start w:val="1"/>
      <w:numFmt w:val="bullet"/>
      <w:lvlText w:val=""/>
      <w:lvlJc w:val="left"/>
      <w:pPr>
        <w:ind w:left="3786" w:hanging="420"/>
      </w:pPr>
      <w:rPr>
        <w:rFonts w:hint="default" w:ascii="Wingdings" w:hAnsi="Wingdings"/>
      </w:rPr>
    </w:lvl>
    <w:lvl w:ilvl="7" w:tentative="0">
      <w:start w:val="1"/>
      <w:numFmt w:val="bullet"/>
      <w:lvlText w:val=""/>
      <w:lvlJc w:val="left"/>
      <w:pPr>
        <w:ind w:left="4206" w:hanging="420"/>
      </w:pPr>
      <w:rPr>
        <w:rFonts w:hint="default" w:ascii="Wingdings" w:hAnsi="Wingdings"/>
      </w:rPr>
    </w:lvl>
    <w:lvl w:ilvl="8" w:tentative="0">
      <w:start w:val="1"/>
      <w:numFmt w:val="bullet"/>
      <w:lvlText w:val=""/>
      <w:lvlJc w:val="left"/>
      <w:pPr>
        <w:ind w:left="4626" w:hanging="420"/>
      </w:pPr>
      <w:rPr>
        <w:rFonts w:hint="default" w:ascii="Wingdings" w:hAnsi="Wingdings"/>
      </w:rPr>
    </w:lvl>
  </w:abstractNum>
  <w:abstractNum w:abstractNumId="4">
    <w:nsid w:val="53F94B4F"/>
    <w:multiLevelType w:val="multilevel"/>
    <w:tmpl w:val="53F94B4F"/>
    <w:lvl w:ilvl="0" w:tentative="0">
      <w:start w:val="1"/>
      <w:numFmt w:val="bullet"/>
      <w:lvlText w:val=""/>
      <w:lvlJc w:val="left"/>
      <w:pPr>
        <w:ind w:left="840" w:hanging="420"/>
      </w:pPr>
      <w:rPr>
        <w:rFonts w:hint="default" w:ascii="Wingdings" w:hAnsi="Wingdings"/>
        <w:sz w:val="15"/>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num w:numId="1">
    <w:abstractNumId w:val="0"/>
  </w:num>
  <w:num w:numId="2">
    <w:abstractNumId w:val="2"/>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3"/>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1338"/>
    <w:rsid w:val="00005045"/>
    <w:rsid w:val="0000578F"/>
    <w:rsid w:val="0002001E"/>
    <w:rsid w:val="000219DF"/>
    <w:rsid w:val="00037A4C"/>
    <w:rsid w:val="000678A8"/>
    <w:rsid w:val="00067FD6"/>
    <w:rsid w:val="00070047"/>
    <w:rsid w:val="00073958"/>
    <w:rsid w:val="00081A16"/>
    <w:rsid w:val="000C1855"/>
    <w:rsid w:val="000C291D"/>
    <w:rsid w:val="000C3B77"/>
    <w:rsid w:val="000D16B8"/>
    <w:rsid w:val="000D7A8A"/>
    <w:rsid w:val="000F14F7"/>
    <w:rsid w:val="000F63BF"/>
    <w:rsid w:val="000F7EF2"/>
    <w:rsid w:val="00101EBF"/>
    <w:rsid w:val="00106871"/>
    <w:rsid w:val="001105DA"/>
    <w:rsid w:val="00111EDF"/>
    <w:rsid w:val="00112DC5"/>
    <w:rsid w:val="00122AE1"/>
    <w:rsid w:val="00124784"/>
    <w:rsid w:val="00124E90"/>
    <w:rsid w:val="00134709"/>
    <w:rsid w:val="001428A7"/>
    <w:rsid w:val="0014776A"/>
    <w:rsid w:val="00147DF5"/>
    <w:rsid w:val="001511A3"/>
    <w:rsid w:val="00153AEE"/>
    <w:rsid w:val="001570B9"/>
    <w:rsid w:val="0016330F"/>
    <w:rsid w:val="001737F9"/>
    <w:rsid w:val="001773DA"/>
    <w:rsid w:val="00184656"/>
    <w:rsid w:val="00186918"/>
    <w:rsid w:val="001A7C37"/>
    <w:rsid w:val="001B7C87"/>
    <w:rsid w:val="001C1C39"/>
    <w:rsid w:val="001D3071"/>
    <w:rsid w:val="001D3BB9"/>
    <w:rsid w:val="001E133A"/>
    <w:rsid w:val="00201812"/>
    <w:rsid w:val="00203163"/>
    <w:rsid w:val="00203A7D"/>
    <w:rsid w:val="00215EBC"/>
    <w:rsid w:val="00217F09"/>
    <w:rsid w:val="00221338"/>
    <w:rsid w:val="0022597C"/>
    <w:rsid w:val="002431AE"/>
    <w:rsid w:val="002555B8"/>
    <w:rsid w:val="00284FB2"/>
    <w:rsid w:val="0029328A"/>
    <w:rsid w:val="00295C3C"/>
    <w:rsid w:val="00295D20"/>
    <w:rsid w:val="002A1AF2"/>
    <w:rsid w:val="002A60F5"/>
    <w:rsid w:val="002B090C"/>
    <w:rsid w:val="002B2E78"/>
    <w:rsid w:val="002B7314"/>
    <w:rsid w:val="002C153B"/>
    <w:rsid w:val="002E702B"/>
    <w:rsid w:val="0030437C"/>
    <w:rsid w:val="0031135A"/>
    <w:rsid w:val="003121F7"/>
    <w:rsid w:val="0031365D"/>
    <w:rsid w:val="00314D29"/>
    <w:rsid w:val="00315CFC"/>
    <w:rsid w:val="00316B5F"/>
    <w:rsid w:val="00317F3B"/>
    <w:rsid w:val="00321894"/>
    <w:rsid w:val="00321CDB"/>
    <w:rsid w:val="003368D4"/>
    <w:rsid w:val="00337C74"/>
    <w:rsid w:val="00340177"/>
    <w:rsid w:val="0034506B"/>
    <w:rsid w:val="0037000B"/>
    <w:rsid w:val="003747B9"/>
    <w:rsid w:val="003857DF"/>
    <w:rsid w:val="003A50E3"/>
    <w:rsid w:val="003A6A7F"/>
    <w:rsid w:val="003B2E2C"/>
    <w:rsid w:val="003C51B9"/>
    <w:rsid w:val="003C5F3A"/>
    <w:rsid w:val="003D123E"/>
    <w:rsid w:val="003D3E8E"/>
    <w:rsid w:val="00407998"/>
    <w:rsid w:val="00412598"/>
    <w:rsid w:val="00412ACB"/>
    <w:rsid w:val="00413DB8"/>
    <w:rsid w:val="004169B3"/>
    <w:rsid w:val="00437A5C"/>
    <w:rsid w:val="00453246"/>
    <w:rsid w:val="004556B5"/>
    <w:rsid w:val="0046589C"/>
    <w:rsid w:val="0047200C"/>
    <w:rsid w:val="00483193"/>
    <w:rsid w:val="00494ADE"/>
    <w:rsid w:val="0049520E"/>
    <w:rsid w:val="004A0D3B"/>
    <w:rsid w:val="004C7D33"/>
    <w:rsid w:val="004D230F"/>
    <w:rsid w:val="004D449D"/>
    <w:rsid w:val="004E2AEB"/>
    <w:rsid w:val="004F0639"/>
    <w:rsid w:val="0050569B"/>
    <w:rsid w:val="00511D13"/>
    <w:rsid w:val="00512B1A"/>
    <w:rsid w:val="005215FB"/>
    <w:rsid w:val="00537E4B"/>
    <w:rsid w:val="00540765"/>
    <w:rsid w:val="00547D69"/>
    <w:rsid w:val="00562403"/>
    <w:rsid w:val="005725E0"/>
    <w:rsid w:val="005755BA"/>
    <w:rsid w:val="0058501E"/>
    <w:rsid w:val="005910E8"/>
    <w:rsid w:val="00594562"/>
    <w:rsid w:val="005A1031"/>
    <w:rsid w:val="005A1B63"/>
    <w:rsid w:val="005A21DB"/>
    <w:rsid w:val="005A317A"/>
    <w:rsid w:val="005A3A23"/>
    <w:rsid w:val="005A7F1B"/>
    <w:rsid w:val="005B7445"/>
    <w:rsid w:val="005C069E"/>
    <w:rsid w:val="005C6629"/>
    <w:rsid w:val="005E2482"/>
    <w:rsid w:val="005F4F73"/>
    <w:rsid w:val="006105F7"/>
    <w:rsid w:val="006156D5"/>
    <w:rsid w:val="0062338D"/>
    <w:rsid w:val="006254D5"/>
    <w:rsid w:val="00634E08"/>
    <w:rsid w:val="00642309"/>
    <w:rsid w:val="00654C63"/>
    <w:rsid w:val="00661405"/>
    <w:rsid w:val="00662EF0"/>
    <w:rsid w:val="006645DE"/>
    <w:rsid w:val="00670E9B"/>
    <w:rsid w:val="00672C75"/>
    <w:rsid w:val="0067336D"/>
    <w:rsid w:val="00674121"/>
    <w:rsid w:val="00694FCA"/>
    <w:rsid w:val="0069542D"/>
    <w:rsid w:val="006A07C2"/>
    <w:rsid w:val="006B6C00"/>
    <w:rsid w:val="006C2D59"/>
    <w:rsid w:val="006C2DCC"/>
    <w:rsid w:val="006D02D6"/>
    <w:rsid w:val="006D45E8"/>
    <w:rsid w:val="006E2867"/>
    <w:rsid w:val="006F289F"/>
    <w:rsid w:val="006F3036"/>
    <w:rsid w:val="007064C5"/>
    <w:rsid w:val="0070732E"/>
    <w:rsid w:val="00741470"/>
    <w:rsid w:val="007446D1"/>
    <w:rsid w:val="0074750E"/>
    <w:rsid w:val="00751D7B"/>
    <w:rsid w:val="00754FB6"/>
    <w:rsid w:val="00762314"/>
    <w:rsid w:val="007628A1"/>
    <w:rsid w:val="00782889"/>
    <w:rsid w:val="00790965"/>
    <w:rsid w:val="007A20AF"/>
    <w:rsid w:val="007A5318"/>
    <w:rsid w:val="007B2D7C"/>
    <w:rsid w:val="007B61C5"/>
    <w:rsid w:val="007C15B9"/>
    <w:rsid w:val="007C4F93"/>
    <w:rsid w:val="007D02FB"/>
    <w:rsid w:val="007D386E"/>
    <w:rsid w:val="007E5D0D"/>
    <w:rsid w:val="007E6E69"/>
    <w:rsid w:val="00815874"/>
    <w:rsid w:val="008160AB"/>
    <w:rsid w:val="00820783"/>
    <w:rsid w:val="00821D1E"/>
    <w:rsid w:val="00823CD7"/>
    <w:rsid w:val="00823E9B"/>
    <w:rsid w:val="00834E88"/>
    <w:rsid w:val="00851CA4"/>
    <w:rsid w:val="00856B3E"/>
    <w:rsid w:val="00865A08"/>
    <w:rsid w:val="0086632A"/>
    <w:rsid w:val="0087011E"/>
    <w:rsid w:val="00880A06"/>
    <w:rsid w:val="00883D6C"/>
    <w:rsid w:val="00886207"/>
    <w:rsid w:val="008870D0"/>
    <w:rsid w:val="008A48E6"/>
    <w:rsid w:val="008B115C"/>
    <w:rsid w:val="008B49CE"/>
    <w:rsid w:val="008C231A"/>
    <w:rsid w:val="008D7355"/>
    <w:rsid w:val="008E5E54"/>
    <w:rsid w:val="00902A4F"/>
    <w:rsid w:val="00920203"/>
    <w:rsid w:val="0092087D"/>
    <w:rsid w:val="00920FEB"/>
    <w:rsid w:val="00966AA0"/>
    <w:rsid w:val="00972F40"/>
    <w:rsid w:val="00974ECB"/>
    <w:rsid w:val="009812A9"/>
    <w:rsid w:val="009904E5"/>
    <w:rsid w:val="009A2274"/>
    <w:rsid w:val="009A4F1F"/>
    <w:rsid w:val="009C1CEB"/>
    <w:rsid w:val="009E2DE9"/>
    <w:rsid w:val="009F2CAC"/>
    <w:rsid w:val="00A11D6B"/>
    <w:rsid w:val="00A23D26"/>
    <w:rsid w:val="00A273C5"/>
    <w:rsid w:val="00A32590"/>
    <w:rsid w:val="00A327ED"/>
    <w:rsid w:val="00A352C9"/>
    <w:rsid w:val="00A355BD"/>
    <w:rsid w:val="00A41C1F"/>
    <w:rsid w:val="00A7462A"/>
    <w:rsid w:val="00A8181B"/>
    <w:rsid w:val="00A8393F"/>
    <w:rsid w:val="00AA26C7"/>
    <w:rsid w:val="00AA47FE"/>
    <w:rsid w:val="00AB00F6"/>
    <w:rsid w:val="00AB3E6E"/>
    <w:rsid w:val="00AC7C9E"/>
    <w:rsid w:val="00AC7EEF"/>
    <w:rsid w:val="00AD1722"/>
    <w:rsid w:val="00AD239C"/>
    <w:rsid w:val="00AE0FC4"/>
    <w:rsid w:val="00AE5F8F"/>
    <w:rsid w:val="00B11FE8"/>
    <w:rsid w:val="00B121A8"/>
    <w:rsid w:val="00B14131"/>
    <w:rsid w:val="00B20DC9"/>
    <w:rsid w:val="00B25777"/>
    <w:rsid w:val="00B27308"/>
    <w:rsid w:val="00B32B1D"/>
    <w:rsid w:val="00B41640"/>
    <w:rsid w:val="00B44806"/>
    <w:rsid w:val="00B51A2D"/>
    <w:rsid w:val="00B55B22"/>
    <w:rsid w:val="00B5736D"/>
    <w:rsid w:val="00B60841"/>
    <w:rsid w:val="00B67401"/>
    <w:rsid w:val="00B67D57"/>
    <w:rsid w:val="00B71B30"/>
    <w:rsid w:val="00B73C41"/>
    <w:rsid w:val="00B7457E"/>
    <w:rsid w:val="00BB0BBE"/>
    <w:rsid w:val="00BD0C1B"/>
    <w:rsid w:val="00BE0E75"/>
    <w:rsid w:val="00BE4681"/>
    <w:rsid w:val="00BE75B4"/>
    <w:rsid w:val="00BF173E"/>
    <w:rsid w:val="00C03066"/>
    <w:rsid w:val="00C15B1A"/>
    <w:rsid w:val="00C3112C"/>
    <w:rsid w:val="00C37EFB"/>
    <w:rsid w:val="00C50BDB"/>
    <w:rsid w:val="00C57197"/>
    <w:rsid w:val="00C63237"/>
    <w:rsid w:val="00C67778"/>
    <w:rsid w:val="00C72E58"/>
    <w:rsid w:val="00C86FAA"/>
    <w:rsid w:val="00C87AC6"/>
    <w:rsid w:val="00C976BE"/>
    <w:rsid w:val="00C97E25"/>
    <w:rsid w:val="00C97F88"/>
    <w:rsid w:val="00CA1378"/>
    <w:rsid w:val="00CB0266"/>
    <w:rsid w:val="00CB0F5E"/>
    <w:rsid w:val="00CB2732"/>
    <w:rsid w:val="00CE28AA"/>
    <w:rsid w:val="00CE6B55"/>
    <w:rsid w:val="00CF109A"/>
    <w:rsid w:val="00CF421E"/>
    <w:rsid w:val="00D13ABE"/>
    <w:rsid w:val="00D24F54"/>
    <w:rsid w:val="00D32543"/>
    <w:rsid w:val="00D40158"/>
    <w:rsid w:val="00D43C46"/>
    <w:rsid w:val="00D45C26"/>
    <w:rsid w:val="00D5111E"/>
    <w:rsid w:val="00D51770"/>
    <w:rsid w:val="00D56084"/>
    <w:rsid w:val="00D62A9A"/>
    <w:rsid w:val="00D65980"/>
    <w:rsid w:val="00D9645E"/>
    <w:rsid w:val="00DA0532"/>
    <w:rsid w:val="00DA4173"/>
    <w:rsid w:val="00DA66B2"/>
    <w:rsid w:val="00DB09A4"/>
    <w:rsid w:val="00DC5E38"/>
    <w:rsid w:val="00DC73AD"/>
    <w:rsid w:val="00DD16C4"/>
    <w:rsid w:val="00DD2870"/>
    <w:rsid w:val="00DF470C"/>
    <w:rsid w:val="00DF486E"/>
    <w:rsid w:val="00E05025"/>
    <w:rsid w:val="00E11160"/>
    <w:rsid w:val="00E14637"/>
    <w:rsid w:val="00E14A0C"/>
    <w:rsid w:val="00E1693B"/>
    <w:rsid w:val="00E16C90"/>
    <w:rsid w:val="00E263C0"/>
    <w:rsid w:val="00E27B4C"/>
    <w:rsid w:val="00E36856"/>
    <w:rsid w:val="00E52B53"/>
    <w:rsid w:val="00E60BFC"/>
    <w:rsid w:val="00E660D6"/>
    <w:rsid w:val="00E81ACD"/>
    <w:rsid w:val="00E872A7"/>
    <w:rsid w:val="00E90F14"/>
    <w:rsid w:val="00EA5DEE"/>
    <w:rsid w:val="00EB1BD1"/>
    <w:rsid w:val="00EB67C0"/>
    <w:rsid w:val="00EE1BA7"/>
    <w:rsid w:val="00EE68A9"/>
    <w:rsid w:val="00EE7411"/>
    <w:rsid w:val="00EF3DA5"/>
    <w:rsid w:val="00EF7114"/>
    <w:rsid w:val="00F0656F"/>
    <w:rsid w:val="00F30C12"/>
    <w:rsid w:val="00F5023B"/>
    <w:rsid w:val="00F67DF1"/>
    <w:rsid w:val="00F7520A"/>
    <w:rsid w:val="00F75DD1"/>
    <w:rsid w:val="00F97363"/>
    <w:rsid w:val="00FA4B87"/>
    <w:rsid w:val="00FA58D9"/>
    <w:rsid w:val="00FB28FF"/>
    <w:rsid w:val="00FC7756"/>
    <w:rsid w:val="00FE4CC4"/>
    <w:rsid w:val="00FE79B9"/>
    <w:rsid w:val="00FF2243"/>
    <w:rsid w:val="02420189"/>
    <w:rsid w:val="03D16FF8"/>
    <w:rsid w:val="03F12C2E"/>
    <w:rsid w:val="040F6C15"/>
    <w:rsid w:val="0C350C99"/>
    <w:rsid w:val="1011359E"/>
    <w:rsid w:val="122D08C5"/>
    <w:rsid w:val="124B3212"/>
    <w:rsid w:val="134969FA"/>
    <w:rsid w:val="163029FE"/>
    <w:rsid w:val="18BD7E3B"/>
    <w:rsid w:val="1BA922C2"/>
    <w:rsid w:val="1F004DBC"/>
    <w:rsid w:val="25C45023"/>
    <w:rsid w:val="2CDC4794"/>
    <w:rsid w:val="2E556F06"/>
    <w:rsid w:val="2F5037AF"/>
    <w:rsid w:val="30396291"/>
    <w:rsid w:val="30C85A30"/>
    <w:rsid w:val="321560AB"/>
    <w:rsid w:val="341063E9"/>
    <w:rsid w:val="3852771F"/>
    <w:rsid w:val="3D5435F3"/>
    <w:rsid w:val="43EE6F15"/>
    <w:rsid w:val="50BF08F7"/>
    <w:rsid w:val="531759B0"/>
    <w:rsid w:val="59D44740"/>
    <w:rsid w:val="5B5D6132"/>
    <w:rsid w:val="5CAC7BAF"/>
    <w:rsid w:val="60315161"/>
    <w:rsid w:val="613E71C6"/>
    <w:rsid w:val="67103EB3"/>
    <w:rsid w:val="6A78174E"/>
    <w:rsid w:val="6B3F7953"/>
    <w:rsid w:val="6CBF64FD"/>
    <w:rsid w:val="75EC02ED"/>
    <w:rsid w:val="7FF142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tLeast"/>
    </w:pPr>
    <w:rPr>
      <w:rFonts w:ascii="Times New Roman" w:hAnsi="Times New Roman" w:eastAsia="宋体" w:cs="Times New Roman"/>
      <w:sz w:val="21"/>
      <w:lang w:val="en-GB" w:eastAsia="zh-CN" w:bidi="ar-SA"/>
    </w:rPr>
  </w:style>
  <w:style w:type="paragraph" w:styleId="2">
    <w:name w:val="heading 1"/>
    <w:next w:val="3"/>
    <w:link w:val="27"/>
    <w:qFormat/>
    <w:uiPriority w:val="0"/>
    <w:pPr>
      <w:keepNext/>
      <w:numPr>
        <w:ilvl w:val="0"/>
        <w:numId w:val="1"/>
      </w:numPr>
      <w:kinsoku w:val="0"/>
      <w:spacing w:before="240" w:after="60"/>
      <w:outlineLvl w:val="0"/>
    </w:pPr>
    <w:rPr>
      <w:rFonts w:ascii="Times New Roman" w:hAnsi="Times New Roman" w:eastAsia="宋体" w:cs="Times New Roman"/>
      <w:b/>
      <w:bCs/>
      <w:kern w:val="32"/>
      <w:sz w:val="28"/>
      <w:szCs w:val="28"/>
      <w:lang w:val="en-US" w:eastAsia="zh-CN" w:bidi="ar-SA"/>
    </w:rPr>
  </w:style>
  <w:style w:type="paragraph" w:styleId="4">
    <w:name w:val="heading 2"/>
    <w:next w:val="3"/>
    <w:link w:val="28"/>
    <w:qFormat/>
    <w:uiPriority w:val="0"/>
    <w:pPr>
      <w:keepNext/>
      <w:numPr>
        <w:ilvl w:val="1"/>
        <w:numId w:val="1"/>
      </w:numPr>
      <w:kinsoku w:val="0"/>
      <w:spacing w:before="240" w:after="240"/>
      <w:jc w:val="both"/>
      <w:outlineLvl w:val="1"/>
    </w:pPr>
    <w:rPr>
      <w:rFonts w:ascii="宋体" w:hAnsi="Times New Roman" w:eastAsia="宋体" w:cs="Arial"/>
      <w:b/>
      <w:bCs/>
      <w:iCs/>
      <w:color w:val="000000"/>
      <w:sz w:val="24"/>
      <w:szCs w:val="24"/>
      <w:lang w:val="en-US" w:eastAsia="zh-CN" w:bidi="ar-SA"/>
    </w:rPr>
  </w:style>
  <w:style w:type="paragraph" w:styleId="5">
    <w:name w:val="heading 3"/>
    <w:next w:val="3"/>
    <w:link w:val="33"/>
    <w:qFormat/>
    <w:uiPriority w:val="0"/>
    <w:pPr>
      <w:keepNext/>
      <w:numPr>
        <w:ilvl w:val="2"/>
        <w:numId w:val="1"/>
      </w:numPr>
      <w:spacing w:before="240" w:after="60"/>
      <w:outlineLvl w:val="2"/>
    </w:pPr>
    <w:rPr>
      <w:rFonts w:ascii="宋体" w:hAnsi="宋体" w:eastAsia="宋体" w:cs="Arial"/>
      <w:b/>
      <w:bCs/>
      <w:sz w:val="21"/>
      <w:szCs w:val="21"/>
      <w:lang w:val="en-US" w:eastAsia="zh-CN" w:bidi="ar-SA"/>
    </w:rPr>
  </w:style>
  <w:style w:type="paragraph" w:styleId="6">
    <w:name w:val="heading 4"/>
    <w:basedOn w:val="1"/>
    <w:next w:val="1"/>
    <w:link w:val="37"/>
    <w:qFormat/>
    <w:uiPriority w:val="0"/>
    <w:pPr>
      <w:keepNext/>
      <w:numPr>
        <w:ilvl w:val="3"/>
        <w:numId w:val="1"/>
      </w:numPr>
      <w:spacing w:before="240" w:after="60"/>
      <w:outlineLvl w:val="3"/>
    </w:pPr>
    <w:rPr>
      <w:b/>
      <w:bCs/>
      <w:szCs w:val="28"/>
    </w:rPr>
  </w:style>
  <w:style w:type="paragraph" w:styleId="7">
    <w:name w:val="heading 5"/>
    <w:basedOn w:val="1"/>
    <w:next w:val="1"/>
    <w:link w:val="38"/>
    <w:qFormat/>
    <w:uiPriority w:val="0"/>
    <w:pPr>
      <w:numPr>
        <w:ilvl w:val="4"/>
        <w:numId w:val="1"/>
      </w:numPr>
      <w:spacing w:before="240" w:after="60"/>
      <w:outlineLvl w:val="4"/>
    </w:pPr>
    <w:rPr>
      <w:b/>
      <w:bCs/>
      <w:iCs/>
      <w:szCs w:val="26"/>
    </w:rPr>
  </w:style>
  <w:style w:type="paragraph" w:styleId="8">
    <w:name w:val="heading 6"/>
    <w:basedOn w:val="1"/>
    <w:next w:val="1"/>
    <w:link w:val="39"/>
    <w:qFormat/>
    <w:uiPriority w:val="0"/>
    <w:pPr>
      <w:numPr>
        <w:ilvl w:val="5"/>
        <w:numId w:val="1"/>
      </w:numPr>
      <w:spacing w:before="240" w:after="60"/>
      <w:outlineLvl w:val="5"/>
    </w:pPr>
    <w:rPr>
      <w:b/>
      <w:bCs/>
      <w:szCs w:val="22"/>
    </w:rPr>
  </w:style>
  <w:style w:type="paragraph" w:styleId="9">
    <w:name w:val="heading 7"/>
    <w:basedOn w:val="1"/>
    <w:next w:val="1"/>
    <w:link w:val="40"/>
    <w:qFormat/>
    <w:uiPriority w:val="0"/>
    <w:pPr>
      <w:numPr>
        <w:ilvl w:val="6"/>
        <w:numId w:val="1"/>
      </w:numPr>
      <w:spacing w:before="240" w:after="60"/>
      <w:outlineLvl w:val="6"/>
    </w:pPr>
    <w:rPr>
      <w:sz w:val="24"/>
      <w:szCs w:val="24"/>
    </w:rPr>
  </w:style>
  <w:style w:type="paragraph" w:styleId="10">
    <w:name w:val="heading 8"/>
    <w:basedOn w:val="1"/>
    <w:next w:val="1"/>
    <w:link w:val="41"/>
    <w:qFormat/>
    <w:uiPriority w:val="0"/>
    <w:pPr>
      <w:numPr>
        <w:ilvl w:val="7"/>
        <w:numId w:val="1"/>
      </w:numPr>
      <w:spacing w:before="240" w:after="60"/>
      <w:outlineLvl w:val="7"/>
    </w:pPr>
    <w:rPr>
      <w:i/>
      <w:iCs/>
      <w:sz w:val="24"/>
      <w:szCs w:val="24"/>
    </w:rPr>
  </w:style>
  <w:style w:type="paragraph" w:styleId="11">
    <w:name w:val="heading 9"/>
    <w:basedOn w:val="1"/>
    <w:next w:val="1"/>
    <w:link w:val="42"/>
    <w:qFormat/>
    <w:uiPriority w:val="0"/>
    <w:pPr>
      <w:numPr>
        <w:ilvl w:val="8"/>
        <w:numId w:val="1"/>
      </w:numPr>
      <w:spacing w:before="240" w:after="60"/>
      <w:outlineLvl w:val="8"/>
    </w:pPr>
    <w:rPr>
      <w:rFonts w:ascii="Arial" w:hAnsi="Arial" w:cs="Arial"/>
      <w:sz w:val="22"/>
      <w:szCs w:val="22"/>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Layout w:type="fixed"/>
      <w:tblCellMar>
        <w:top w:w="0" w:type="dxa"/>
        <w:left w:w="108" w:type="dxa"/>
        <w:bottom w:w="0" w:type="dxa"/>
        <w:right w:w="108" w:type="dxa"/>
      </w:tblCellMar>
    </w:tblPr>
  </w:style>
  <w:style w:type="paragraph" w:styleId="3">
    <w:name w:val="Block Tex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1"/>
    <w:qFormat/>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4"/>
    <w:semiHidden/>
    <w:qFormat/>
    <w:uiPriority w:val="0"/>
    <w:pPr>
      <w:shd w:val="clear" w:color="auto" w:fill="000080"/>
    </w:pPr>
  </w:style>
  <w:style w:type="paragraph" w:styleId="15">
    <w:name w:val="toc 3"/>
    <w:basedOn w:val="1"/>
    <w:next w:val="1"/>
    <w:qFormat/>
    <w:uiPriority w:val="39"/>
    <w:pPr>
      <w:tabs>
        <w:tab w:val="left" w:pos="900"/>
        <w:tab w:val="left" w:pos="1260"/>
        <w:tab w:val="right" w:leader="dot" w:pos="9360"/>
      </w:tabs>
      <w:ind w:left="210" w:firstLine="210" w:firstLineChars="100"/>
    </w:pPr>
    <w:rPr>
      <w:kern w:val="2"/>
      <w:szCs w:val="24"/>
      <w:lang w:val="en-US"/>
    </w:rPr>
  </w:style>
  <w:style w:type="paragraph" w:styleId="16">
    <w:name w:val="Balloon Text"/>
    <w:basedOn w:val="1"/>
    <w:link w:val="34"/>
    <w:qFormat/>
    <w:uiPriority w:val="0"/>
    <w:pPr>
      <w:spacing w:line="240" w:lineRule="auto"/>
    </w:pPr>
    <w:rPr>
      <w:sz w:val="18"/>
      <w:szCs w:val="18"/>
    </w:rPr>
  </w:style>
  <w:style w:type="paragraph" w:styleId="17">
    <w:name w:val="footer"/>
    <w:basedOn w:val="1"/>
    <w:link w:val="29"/>
    <w:qFormat/>
    <w:uiPriority w:val="99"/>
    <w:pPr>
      <w:tabs>
        <w:tab w:val="center" w:pos="4153"/>
        <w:tab w:val="right" w:pos="8306"/>
      </w:tabs>
      <w:snapToGrid w:val="0"/>
    </w:pPr>
    <w:rPr>
      <w:szCs w:val="18"/>
    </w:rPr>
  </w:style>
  <w:style w:type="paragraph" w:styleId="18">
    <w:name w:val="header"/>
    <w:basedOn w:val="1"/>
    <w:link w:val="43"/>
    <w:qFormat/>
    <w:uiPriority w:val="0"/>
    <w:pPr>
      <w:pBdr>
        <w:bottom w:val="single" w:color="auto" w:sz="6" w:space="1"/>
      </w:pBdr>
      <w:tabs>
        <w:tab w:val="center" w:pos="4153"/>
        <w:tab w:val="right" w:pos="8306"/>
      </w:tabs>
      <w:snapToGrid w:val="0"/>
      <w:jc w:val="center"/>
    </w:pPr>
    <w:rPr>
      <w:szCs w:val="18"/>
    </w:rPr>
  </w:style>
  <w:style w:type="paragraph" w:styleId="19">
    <w:name w:val="toc 1"/>
    <w:basedOn w:val="1"/>
    <w:next w:val="1"/>
    <w:uiPriority w:val="39"/>
    <w:pPr>
      <w:tabs>
        <w:tab w:val="left" w:leader="dot" w:pos="180"/>
        <w:tab w:val="left" w:pos="420"/>
        <w:tab w:val="right" w:leader="dot" w:pos="9360"/>
      </w:tabs>
    </w:pPr>
    <w:rPr>
      <w:b/>
      <w:bCs/>
      <w:kern w:val="2"/>
      <w:szCs w:val="24"/>
      <w:lang w:val="en-US"/>
    </w:rPr>
  </w:style>
  <w:style w:type="paragraph" w:styleId="20">
    <w:name w:val="toc 2"/>
    <w:basedOn w:val="1"/>
    <w:next w:val="1"/>
    <w:qFormat/>
    <w:uiPriority w:val="39"/>
    <w:pPr>
      <w:tabs>
        <w:tab w:val="left" w:pos="540"/>
        <w:tab w:val="left" w:pos="840"/>
        <w:tab w:val="right" w:leader="dot" w:pos="9360"/>
      </w:tabs>
      <w:ind w:left="200"/>
    </w:pPr>
    <w:rPr>
      <w:kern w:val="2"/>
      <w:szCs w:val="24"/>
      <w:lang w:val="en-US"/>
    </w:rPr>
  </w:style>
  <w:style w:type="table" w:styleId="22">
    <w:name w:val="Table Grid"/>
    <w:basedOn w:val="21"/>
    <w:qFormat/>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24">
    <w:name w:val="FollowedHyperlink"/>
    <w:unhideWhenUsed/>
    <w:qFormat/>
    <w:uiPriority w:val="99"/>
    <w:rPr>
      <w:color w:val="800080"/>
      <w:u w:val="single"/>
    </w:rPr>
  </w:style>
  <w:style w:type="character" w:styleId="25">
    <w:name w:val="Emphasis"/>
    <w:qFormat/>
    <w:uiPriority w:val="20"/>
    <w:rPr>
      <w:color w:val="CC0000"/>
    </w:rPr>
  </w:style>
  <w:style w:type="character" w:styleId="26">
    <w:name w:val="Hyperlink"/>
    <w:qFormat/>
    <w:uiPriority w:val="99"/>
    <w:rPr>
      <w:color w:val="0000FF"/>
      <w:u w:val="single"/>
    </w:rPr>
  </w:style>
  <w:style w:type="character" w:customStyle="1" w:styleId="27">
    <w:name w:val="标题 1 Char"/>
    <w:link w:val="2"/>
    <w:uiPriority w:val="0"/>
    <w:rPr>
      <w:b/>
      <w:bCs/>
      <w:kern w:val="32"/>
      <w:sz w:val="28"/>
      <w:szCs w:val="28"/>
    </w:rPr>
  </w:style>
  <w:style w:type="character" w:customStyle="1" w:styleId="28">
    <w:name w:val="标题 2 Char"/>
    <w:link w:val="4"/>
    <w:qFormat/>
    <w:uiPriority w:val="0"/>
    <w:rPr>
      <w:rFonts w:ascii="宋体" w:cs="Arial"/>
      <w:b/>
      <w:bCs/>
      <w:iCs/>
      <w:color w:val="000000"/>
      <w:sz w:val="24"/>
      <w:szCs w:val="24"/>
    </w:rPr>
  </w:style>
  <w:style w:type="character" w:customStyle="1" w:styleId="29">
    <w:name w:val="页脚 Char"/>
    <w:link w:val="17"/>
    <w:qFormat/>
    <w:uiPriority w:val="99"/>
    <w:rPr>
      <w:sz w:val="21"/>
      <w:szCs w:val="18"/>
      <w:lang w:val="en-GB"/>
    </w:rPr>
  </w:style>
  <w:style w:type="paragraph" w:customStyle="1" w:styleId="30">
    <w:name w:val="lj正文"/>
    <w:qFormat/>
    <w:uiPriority w:val="0"/>
    <w:pPr>
      <w:shd w:val="clear" w:color="auto" w:fill="FFFFFF"/>
      <w:spacing w:line="360" w:lineRule="auto"/>
      <w:ind w:firstLine="200" w:firstLineChars="200"/>
    </w:pPr>
    <w:rPr>
      <w:rFonts w:ascii="宋体" w:hAnsi="宋体" w:eastAsia="宋体" w:cs="Times New Roman"/>
      <w:color w:val="000000"/>
      <w:sz w:val="24"/>
      <w:szCs w:val="24"/>
      <w:lang w:val="en-US" w:eastAsia="zh-CN" w:bidi="ar-SA"/>
    </w:rPr>
  </w:style>
  <w:style w:type="character" w:customStyle="1" w:styleId="31">
    <w:name w:val="正文缩进 Char"/>
    <w:link w:val="12"/>
    <w:qFormat/>
    <w:uiPriority w:val="0"/>
    <w:rPr>
      <w:rFonts w:ascii="宋体"/>
      <w:sz w:val="21"/>
    </w:rPr>
  </w:style>
  <w:style w:type="paragraph" w:styleId="32">
    <w:name w:val="List Paragraph"/>
    <w:basedOn w:val="1"/>
    <w:qFormat/>
    <w:uiPriority w:val="34"/>
    <w:pPr>
      <w:spacing w:before="50" w:beforeLines="50" w:line="240" w:lineRule="auto"/>
      <w:ind w:left="420" w:firstLine="420" w:firstLineChars="200"/>
      <w:jc w:val="both"/>
    </w:pPr>
    <w:rPr>
      <w:rFonts w:ascii="Calibri" w:hAnsi="Calibri"/>
      <w:kern w:val="2"/>
      <w:szCs w:val="22"/>
      <w:lang w:val="en-US"/>
    </w:rPr>
  </w:style>
  <w:style w:type="character" w:customStyle="1" w:styleId="33">
    <w:name w:val="标题 3 Char"/>
    <w:link w:val="5"/>
    <w:qFormat/>
    <w:uiPriority w:val="0"/>
    <w:rPr>
      <w:rFonts w:ascii="宋体" w:hAnsi="宋体" w:cs="Arial"/>
      <w:b/>
      <w:bCs/>
      <w:sz w:val="21"/>
      <w:szCs w:val="21"/>
    </w:rPr>
  </w:style>
  <w:style w:type="character" w:customStyle="1" w:styleId="34">
    <w:name w:val="批注框文本 Char"/>
    <w:link w:val="16"/>
    <w:qFormat/>
    <w:uiPriority w:val="0"/>
    <w:rPr>
      <w:sz w:val="18"/>
      <w:szCs w:val="18"/>
      <w:lang w:val="en-GB"/>
    </w:rPr>
  </w:style>
  <w:style w:type="character" w:styleId="35">
    <w:name w:val="Placeholder Text"/>
    <w:semiHidden/>
    <w:qFormat/>
    <w:uiPriority w:val="99"/>
    <w:rPr>
      <w:color w:val="808080"/>
    </w:rPr>
  </w:style>
  <w:style w:type="paragraph" w:styleId="36">
    <w:name w:val="No Spacing"/>
    <w:qFormat/>
    <w:uiPriority w:val="1"/>
    <w:rPr>
      <w:rFonts w:ascii="Times New Roman" w:hAnsi="Times New Roman" w:eastAsia="宋体" w:cs="Times New Roman"/>
      <w:sz w:val="21"/>
      <w:lang w:val="en-GB" w:eastAsia="zh-CN" w:bidi="ar-SA"/>
    </w:rPr>
  </w:style>
  <w:style w:type="character" w:customStyle="1" w:styleId="37">
    <w:name w:val="标题 4 Char"/>
    <w:link w:val="6"/>
    <w:qFormat/>
    <w:uiPriority w:val="0"/>
    <w:rPr>
      <w:b/>
      <w:bCs/>
      <w:sz w:val="21"/>
      <w:szCs w:val="28"/>
      <w:lang w:val="en-GB"/>
    </w:rPr>
  </w:style>
  <w:style w:type="character" w:customStyle="1" w:styleId="38">
    <w:name w:val="标题 5 Char"/>
    <w:link w:val="7"/>
    <w:qFormat/>
    <w:uiPriority w:val="0"/>
    <w:rPr>
      <w:b/>
      <w:bCs/>
      <w:iCs/>
      <w:sz w:val="21"/>
      <w:szCs w:val="26"/>
      <w:lang w:val="en-GB"/>
    </w:rPr>
  </w:style>
  <w:style w:type="character" w:customStyle="1" w:styleId="39">
    <w:name w:val="标题 6 Char"/>
    <w:link w:val="8"/>
    <w:qFormat/>
    <w:uiPriority w:val="0"/>
    <w:rPr>
      <w:b/>
      <w:bCs/>
      <w:sz w:val="21"/>
      <w:szCs w:val="22"/>
      <w:lang w:val="en-GB"/>
    </w:rPr>
  </w:style>
  <w:style w:type="character" w:customStyle="1" w:styleId="40">
    <w:name w:val="标题 7 Char"/>
    <w:link w:val="9"/>
    <w:uiPriority w:val="0"/>
    <w:rPr>
      <w:sz w:val="24"/>
      <w:szCs w:val="24"/>
      <w:lang w:val="en-GB"/>
    </w:rPr>
  </w:style>
  <w:style w:type="character" w:customStyle="1" w:styleId="41">
    <w:name w:val="标题 8 Char"/>
    <w:link w:val="10"/>
    <w:uiPriority w:val="0"/>
    <w:rPr>
      <w:i/>
      <w:iCs/>
      <w:sz w:val="24"/>
      <w:szCs w:val="24"/>
      <w:lang w:val="en-GB"/>
    </w:rPr>
  </w:style>
  <w:style w:type="character" w:customStyle="1" w:styleId="42">
    <w:name w:val="标题 9 Char"/>
    <w:link w:val="11"/>
    <w:uiPriority w:val="0"/>
    <w:rPr>
      <w:rFonts w:ascii="Arial" w:hAnsi="Arial" w:cs="Arial"/>
      <w:sz w:val="22"/>
      <w:szCs w:val="22"/>
      <w:lang w:val="en-GB"/>
    </w:rPr>
  </w:style>
  <w:style w:type="character" w:customStyle="1" w:styleId="43">
    <w:name w:val="页眉 Char"/>
    <w:link w:val="18"/>
    <w:uiPriority w:val="0"/>
    <w:rPr>
      <w:sz w:val="21"/>
      <w:szCs w:val="18"/>
      <w:lang w:val="en-GB"/>
    </w:rPr>
  </w:style>
  <w:style w:type="character" w:customStyle="1" w:styleId="44">
    <w:name w:val="文档结构图 Char"/>
    <w:link w:val="14"/>
    <w:semiHidden/>
    <w:uiPriority w:val="0"/>
    <w:rPr>
      <w:sz w:val="21"/>
      <w:shd w:val="clear" w:color="auto" w:fill="000080"/>
      <w:lang w:val="en-GB"/>
    </w:rPr>
  </w:style>
  <w:style w:type="character" w:customStyle="1" w:styleId="45">
    <w:name w:val="Font Style51"/>
    <w:qFormat/>
    <w:uiPriority w:val="0"/>
    <w:rPr>
      <w:rFonts w:ascii="宋体" w:eastAsia="宋体" w:cs="宋体"/>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8" Type="http://schemas.openxmlformats.org/officeDocument/2006/relationships/fontTable" Target="fontTable.xml"/><Relationship Id="rId77" Type="http://schemas.openxmlformats.org/officeDocument/2006/relationships/customXml" Target="../customXml/item2.xml"/><Relationship Id="rId76" Type="http://schemas.openxmlformats.org/officeDocument/2006/relationships/numbering" Target="numbering.xml"/><Relationship Id="rId75" Type="http://schemas.openxmlformats.org/officeDocument/2006/relationships/customXml" Target="../customXml/item1.xml"/><Relationship Id="rId74" Type="http://schemas.openxmlformats.org/officeDocument/2006/relationships/image" Target="media/image62.png"/><Relationship Id="rId73" Type="http://schemas.openxmlformats.org/officeDocument/2006/relationships/image" Target="media/image61.png"/><Relationship Id="rId72" Type="http://schemas.openxmlformats.org/officeDocument/2006/relationships/image" Target="media/image60.png"/><Relationship Id="rId71" Type="http://schemas.openxmlformats.org/officeDocument/2006/relationships/image" Target="media/image59.png"/><Relationship Id="rId70" Type="http://schemas.openxmlformats.org/officeDocument/2006/relationships/image" Target="media/image58.png"/><Relationship Id="rId7" Type="http://schemas.openxmlformats.org/officeDocument/2006/relationships/image" Target="media/image2.png"/><Relationship Id="rId69" Type="http://schemas.openxmlformats.org/officeDocument/2006/relationships/image" Target="media/image57.png"/><Relationship Id="rId68" Type="http://schemas.openxmlformats.org/officeDocument/2006/relationships/image" Target="media/image56.png"/><Relationship Id="rId67" Type="http://schemas.openxmlformats.org/officeDocument/2006/relationships/image" Target="media/image55.png"/><Relationship Id="rId66" Type="http://schemas.openxmlformats.org/officeDocument/2006/relationships/image" Target="media/image54.png"/><Relationship Id="rId65" Type="http://schemas.openxmlformats.org/officeDocument/2006/relationships/image" Target="media/image53.png"/><Relationship Id="rId64" Type="http://schemas.openxmlformats.org/officeDocument/2006/relationships/image" Target="media/image52.wmf"/><Relationship Id="rId63" Type="http://schemas.openxmlformats.org/officeDocument/2006/relationships/oleObject" Target="embeddings/oleObject7.bin"/><Relationship Id="rId62" Type="http://schemas.openxmlformats.org/officeDocument/2006/relationships/image" Target="media/image51.wmf"/><Relationship Id="rId61" Type="http://schemas.openxmlformats.org/officeDocument/2006/relationships/oleObject" Target="embeddings/oleObject6.bin"/><Relationship Id="rId60" Type="http://schemas.openxmlformats.org/officeDocument/2006/relationships/image" Target="media/image50.wmf"/><Relationship Id="rId6" Type="http://schemas.openxmlformats.org/officeDocument/2006/relationships/theme" Target="theme/theme1.xml"/><Relationship Id="rId59" Type="http://schemas.openxmlformats.org/officeDocument/2006/relationships/oleObject" Target="embeddings/oleObject5.bin"/><Relationship Id="rId58" Type="http://schemas.openxmlformats.org/officeDocument/2006/relationships/image" Target="media/image49.wmf"/><Relationship Id="rId57" Type="http://schemas.openxmlformats.org/officeDocument/2006/relationships/oleObject" Target="embeddings/oleObject4.bin"/><Relationship Id="rId56" Type="http://schemas.openxmlformats.org/officeDocument/2006/relationships/image" Target="media/image48.wmf"/><Relationship Id="rId55" Type="http://schemas.openxmlformats.org/officeDocument/2006/relationships/image" Target="media/image47.wmf"/><Relationship Id="rId54" Type="http://schemas.openxmlformats.org/officeDocument/2006/relationships/image" Target="media/image46.wmf"/><Relationship Id="rId53" Type="http://schemas.openxmlformats.org/officeDocument/2006/relationships/image" Target="media/image45.wmf"/><Relationship Id="rId52" Type="http://schemas.openxmlformats.org/officeDocument/2006/relationships/image" Target="media/image44.wmf"/><Relationship Id="rId51" Type="http://schemas.openxmlformats.org/officeDocument/2006/relationships/image" Target="media/image43.wmf"/><Relationship Id="rId50" Type="http://schemas.openxmlformats.org/officeDocument/2006/relationships/image" Target="media/image42.wmf"/><Relationship Id="rId5" Type="http://schemas.openxmlformats.org/officeDocument/2006/relationships/footer" Target="footer2.xml"/><Relationship Id="rId49" Type="http://schemas.openxmlformats.org/officeDocument/2006/relationships/image" Target="media/image41.wmf"/><Relationship Id="rId48" Type="http://schemas.openxmlformats.org/officeDocument/2006/relationships/image" Target="media/image40.wmf"/><Relationship Id="rId47" Type="http://schemas.openxmlformats.org/officeDocument/2006/relationships/image" Target="media/image39.wmf"/><Relationship Id="rId46" Type="http://schemas.openxmlformats.org/officeDocument/2006/relationships/image" Target="media/image38.wmf"/><Relationship Id="rId45" Type="http://schemas.openxmlformats.org/officeDocument/2006/relationships/image" Target="media/image37.wmf"/><Relationship Id="rId44" Type="http://schemas.openxmlformats.org/officeDocument/2006/relationships/image" Target="media/image36.wmf"/><Relationship Id="rId43" Type="http://schemas.openxmlformats.org/officeDocument/2006/relationships/image" Target="media/image35.wmf"/><Relationship Id="rId42" Type="http://schemas.openxmlformats.org/officeDocument/2006/relationships/image" Target="media/image34.wmf"/><Relationship Id="rId41" Type="http://schemas.openxmlformats.org/officeDocument/2006/relationships/image" Target="media/image33.wmf"/><Relationship Id="rId40" Type="http://schemas.openxmlformats.org/officeDocument/2006/relationships/image" Target="media/image32.wmf"/><Relationship Id="rId4" Type="http://schemas.openxmlformats.org/officeDocument/2006/relationships/footer" Target="footer1.xml"/><Relationship Id="rId39" Type="http://schemas.openxmlformats.org/officeDocument/2006/relationships/image" Target="media/image31.wmf"/><Relationship Id="rId38" Type="http://schemas.openxmlformats.org/officeDocument/2006/relationships/image" Target="media/image30.wmf"/><Relationship Id="rId37" Type="http://schemas.openxmlformats.org/officeDocument/2006/relationships/image" Target="media/image29.wmf"/><Relationship Id="rId36" Type="http://schemas.openxmlformats.org/officeDocument/2006/relationships/image" Target="media/image28.wmf"/><Relationship Id="rId35" Type="http://schemas.openxmlformats.org/officeDocument/2006/relationships/image" Target="media/image27.wmf"/><Relationship Id="rId34" Type="http://schemas.openxmlformats.org/officeDocument/2006/relationships/image" Target="media/image26.wmf"/><Relationship Id="rId33" Type="http://schemas.openxmlformats.org/officeDocument/2006/relationships/image" Target="media/image25.wmf"/><Relationship Id="rId32" Type="http://schemas.openxmlformats.org/officeDocument/2006/relationships/image" Target="media/image24.wmf"/><Relationship Id="rId31" Type="http://schemas.openxmlformats.org/officeDocument/2006/relationships/image" Target="media/image23.wmf"/><Relationship Id="rId30" Type="http://schemas.openxmlformats.org/officeDocument/2006/relationships/image" Target="media/image22.wmf"/><Relationship Id="rId3" Type="http://schemas.openxmlformats.org/officeDocument/2006/relationships/header" Target="header1.xml"/><Relationship Id="rId29" Type="http://schemas.openxmlformats.org/officeDocument/2006/relationships/image" Target="media/image21.wmf"/><Relationship Id="rId28" Type="http://schemas.openxmlformats.org/officeDocument/2006/relationships/image" Target="media/image20.wmf"/><Relationship Id="rId27" Type="http://schemas.openxmlformats.org/officeDocument/2006/relationships/image" Target="media/image19.wmf"/><Relationship Id="rId26" Type="http://schemas.openxmlformats.org/officeDocument/2006/relationships/image" Target="media/image18.wmf"/><Relationship Id="rId25" Type="http://schemas.openxmlformats.org/officeDocument/2006/relationships/image" Target="media/image17.wmf"/><Relationship Id="rId24" Type="http://schemas.openxmlformats.org/officeDocument/2006/relationships/image" Target="media/image16.wmf"/><Relationship Id="rId23" Type="http://schemas.openxmlformats.org/officeDocument/2006/relationships/image" Target="media/image15.wmf"/><Relationship Id="rId22" Type="http://schemas.openxmlformats.org/officeDocument/2006/relationships/image" Target="media/image14.wmf"/><Relationship Id="rId21" Type="http://schemas.openxmlformats.org/officeDocument/2006/relationships/image" Target="media/image13.wmf"/><Relationship Id="rId20" Type="http://schemas.openxmlformats.org/officeDocument/2006/relationships/image" Target="media/image12.wmf"/><Relationship Id="rId2" Type="http://schemas.openxmlformats.org/officeDocument/2006/relationships/settings" Target="settings.xml"/><Relationship Id="rId19" Type="http://schemas.openxmlformats.org/officeDocument/2006/relationships/image" Target="media/image11.wmf"/><Relationship Id="rId18" Type="http://schemas.openxmlformats.org/officeDocument/2006/relationships/image" Target="media/image10.wmf"/><Relationship Id="rId17" Type="http://schemas.openxmlformats.org/officeDocument/2006/relationships/image" Target="media/image9.png"/><Relationship Id="rId16" Type="http://schemas.openxmlformats.org/officeDocument/2006/relationships/image" Target="media/image8.wmf"/><Relationship Id="rId15" Type="http://schemas.openxmlformats.org/officeDocument/2006/relationships/oleObject" Target="embeddings/oleObject3.bin"/><Relationship Id="rId14" Type="http://schemas.openxmlformats.org/officeDocument/2006/relationships/image" Target="media/image7.wmf"/><Relationship Id="rId13" Type="http://schemas.openxmlformats.org/officeDocument/2006/relationships/oleObject" Target="embeddings/oleObject2.bin"/><Relationship Id="rId12" Type="http://schemas.openxmlformats.org/officeDocument/2006/relationships/image" Target="media/image6.wmf"/><Relationship Id="rId11" Type="http://schemas.openxmlformats.org/officeDocument/2006/relationships/oleObject" Target="embeddings/oleObject1.bin"/><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AppData\Local\Temp\tmp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36653F4-748D-4874-91EB-8D918A94C68C}">
  <ds:schemaRefs/>
</ds:datastoreItem>
</file>

<file path=docProps/app.xml><?xml version="1.0" encoding="utf-8"?>
<Properties xmlns="http://schemas.openxmlformats.org/officeDocument/2006/extended-properties" xmlns:vt="http://schemas.openxmlformats.org/officeDocument/2006/docPropsVTypes">
  <Template>tmp1.dotx</Template>
  <Company>ths</Company>
  <Pages>28</Pages>
  <Words>2467</Words>
  <Characters>14066</Characters>
  <Lines>117</Lines>
  <Paragraphs>32</Paragraphs>
  <TotalTime>0</TotalTime>
  <ScaleCrop>false</ScaleCrop>
  <LinksUpToDate>false</LinksUpToDate>
  <CharactersWithSpaces>16501</CharactersWithSpaces>
  <Application>WPS Office_11.1.0.8806_F1E327BC-269C-435d-A152-05C5408002CA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2019-05-26T09:22:00Z</dcterms:created>
  <dc:creator>DELL</dc:creator>
  <cp:lastModifiedBy>_ 李漂亮 _</cp:lastModifiedBy>
  <cp:lastPrinted>2411-12-31T16:00:00Z</cp:lastPrinted>
  <dcterms:modified xsi:type="dcterms:W3CDTF">2019-06-30T07:55:43Z</dcterms:modified>
  <dc:title>室外风环境模拟分析报告</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2052-11.1.0.8806</vt:lpwstr>
  </property>
</Properties>
</file>